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7F24D" w14:textId="6BC6FA2B" w:rsidR="00A0273A" w:rsidRDefault="00A0273A">
      <w:pPr>
        <w:tabs>
          <w:tab w:val="right" w:leader="dot" w:pos="7662"/>
        </w:tabs>
        <w:jc w:val="center"/>
        <w:rPr>
          <w:rFonts w:eastAsia="黑体"/>
          <w:bCs/>
          <w:sz w:val="44"/>
          <w:szCs w:val="44"/>
        </w:rPr>
      </w:pPr>
    </w:p>
    <w:p w14:paraId="392751B5" w14:textId="77777777" w:rsidR="00A0273A" w:rsidRDefault="00A0273A">
      <w:pPr>
        <w:tabs>
          <w:tab w:val="right" w:leader="dot" w:pos="7662"/>
        </w:tabs>
        <w:jc w:val="center"/>
        <w:rPr>
          <w:rFonts w:eastAsia="黑体"/>
          <w:bCs/>
          <w:sz w:val="44"/>
          <w:szCs w:val="44"/>
        </w:rPr>
      </w:pPr>
    </w:p>
    <w:p w14:paraId="34766F83" w14:textId="77777777" w:rsidR="00A0273A" w:rsidRDefault="00A0273A">
      <w:pPr>
        <w:tabs>
          <w:tab w:val="right" w:leader="dot" w:pos="7662"/>
        </w:tabs>
        <w:jc w:val="center"/>
        <w:rPr>
          <w:rFonts w:eastAsia="黑体"/>
          <w:bCs/>
          <w:sz w:val="44"/>
          <w:szCs w:val="44"/>
        </w:rPr>
      </w:pPr>
    </w:p>
    <w:p w14:paraId="3EA0B780" w14:textId="77777777" w:rsidR="00A0273A" w:rsidRDefault="00A0273A">
      <w:pPr>
        <w:tabs>
          <w:tab w:val="right" w:leader="dot" w:pos="7662"/>
        </w:tabs>
        <w:jc w:val="center"/>
        <w:rPr>
          <w:rFonts w:eastAsia="黑体"/>
          <w:bCs/>
          <w:sz w:val="44"/>
          <w:szCs w:val="44"/>
        </w:rPr>
      </w:pPr>
    </w:p>
    <w:p w14:paraId="36AC8B35" w14:textId="77777777" w:rsidR="00A0273A" w:rsidRDefault="00A0273A">
      <w:pPr>
        <w:tabs>
          <w:tab w:val="right" w:leader="dot" w:pos="7662"/>
        </w:tabs>
        <w:jc w:val="center"/>
        <w:rPr>
          <w:rFonts w:eastAsia="黑体"/>
          <w:bCs/>
          <w:sz w:val="44"/>
          <w:szCs w:val="44"/>
        </w:rPr>
      </w:pPr>
    </w:p>
    <w:p w14:paraId="146544B3" w14:textId="77777777" w:rsidR="00A0273A" w:rsidRDefault="00A0273A">
      <w:pPr>
        <w:tabs>
          <w:tab w:val="right" w:leader="dot" w:pos="7662"/>
        </w:tabs>
        <w:jc w:val="center"/>
        <w:rPr>
          <w:rFonts w:eastAsia="黑体"/>
          <w:bCs/>
          <w:sz w:val="44"/>
          <w:szCs w:val="44"/>
        </w:rPr>
      </w:pPr>
    </w:p>
    <w:p w14:paraId="0C0955B5" w14:textId="77777777" w:rsidR="00A0273A" w:rsidRDefault="00A0273A">
      <w:pPr>
        <w:tabs>
          <w:tab w:val="right" w:leader="dot" w:pos="7662"/>
        </w:tabs>
        <w:jc w:val="center"/>
        <w:rPr>
          <w:rFonts w:eastAsia="黑体"/>
          <w:bCs/>
          <w:sz w:val="44"/>
          <w:szCs w:val="44"/>
        </w:rPr>
      </w:pPr>
    </w:p>
    <w:p w14:paraId="5D29A997" w14:textId="77777777" w:rsidR="00A0273A" w:rsidRDefault="00000000">
      <w:pPr>
        <w:pStyle w:val="af"/>
      </w:pPr>
      <w:proofErr w:type="gramStart"/>
      <w:r>
        <w:rPr>
          <w:rFonts w:hint="eastAsia"/>
        </w:rPr>
        <w:t>全氟异</w:t>
      </w:r>
      <w:proofErr w:type="gramEnd"/>
      <w:r>
        <w:rPr>
          <w:rFonts w:hint="eastAsia"/>
        </w:rPr>
        <w:t>丁腈混合气体与电气设备</w:t>
      </w:r>
    </w:p>
    <w:p w14:paraId="225BDF79" w14:textId="77777777" w:rsidR="00A0273A" w:rsidRDefault="00000000">
      <w:pPr>
        <w:pStyle w:val="af"/>
      </w:pPr>
      <w:r>
        <w:rPr>
          <w:rFonts w:hint="eastAsia"/>
        </w:rPr>
        <w:t>固体材料相容性试验导则</w:t>
      </w:r>
    </w:p>
    <w:p w14:paraId="3998E1B9" w14:textId="77777777" w:rsidR="00A0273A" w:rsidRDefault="00A0273A">
      <w:pPr>
        <w:tabs>
          <w:tab w:val="right" w:leader="dot" w:pos="7662"/>
        </w:tabs>
        <w:jc w:val="center"/>
        <w:rPr>
          <w:rFonts w:eastAsia="黑体"/>
          <w:bCs/>
          <w:sz w:val="44"/>
          <w:szCs w:val="44"/>
        </w:rPr>
      </w:pPr>
    </w:p>
    <w:p w14:paraId="39185BF6" w14:textId="77777777" w:rsidR="00A0273A" w:rsidRDefault="00A0273A">
      <w:pPr>
        <w:tabs>
          <w:tab w:val="right" w:leader="dot" w:pos="7662"/>
        </w:tabs>
        <w:jc w:val="center"/>
        <w:rPr>
          <w:rFonts w:eastAsia="黑体"/>
          <w:bCs/>
        </w:rPr>
      </w:pPr>
    </w:p>
    <w:p w14:paraId="768CB977" w14:textId="77777777" w:rsidR="00A0273A" w:rsidRDefault="00000000">
      <w:pPr>
        <w:tabs>
          <w:tab w:val="right" w:leader="dot" w:pos="7662"/>
        </w:tabs>
        <w:spacing w:line="360" w:lineRule="auto"/>
        <w:jc w:val="center"/>
        <w:rPr>
          <w:rFonts w:eastAsia="黑体"/>
          <w:bCs/>
          <w:sz w:val="28"/>
          <w:szCs w:val="28"/>
        </w:rPr>
      </w:pPr>
      <w:r>
        <w:rPr>
          <w:rFonts w:eastAsia="黑体"/>
          <w:bCs/>
          <w:sz w:val="28"/>
          <w:szCs w:val="28"/>
        </w:rPr>
        <w:t>编制说明</w:t>
      </w:r>
    </w:p>
    <w:p w14:paraId="0FB406EA" w14:textId="77777777" w:rsidR="00A0273A" w:rsidRDefault="00A0273A">
      <w:pPr>
        <w:pStyle w:val="ae"/>
        <w:ind w:firstLine="420"/>
      </w:pPr>
    </w:p>
    <w:p w14:paraId="0879FC14" w14:textId="77777777" w:rsidR="00A0273A" w:rsidRDefault="00A0273A">
      <w:pPr>
        <w:pStyle w:val="ae"/>
        <w:ind w:firstLine="420"/>
      </w:pPr>
    </w:p>
    <w:p w14:paraId="4AC8402A" w14:textId="77777777" w:rsidR="00A0273A" w:rsidRDefault="00A0273A">
      <w:pPr>
        <w:pStyle w:val="ae"/>
        <w:ind w:firstLine="420"/>
      </w:pPr>
    </w:p>
    <w:p w14:paraId="7F526E3C" w14:textId="77777777" w:rsidR="00A0273A" w:rsidRDefault="00A0273A">
      <w:pPr>
        <w:pStyle w:val="ae"/>
        <w:ind w:firstLine="420"/>
      </w:pPr>
    </w:p>
    <w:p w14:paraId="185BF1FB" w14:textId="77777777" w:rsidR="00A0273A" w:rsidRDefault="00A0273A">
      <w:pPr>
        <w:pStyle w:val="ae"/>
        <w:ind w:firstLine="420"/>
        <w:sectPr w:rsidR="00A0273A">
          <w:headerReference w:type="even" r:id="rId8"/>
          <w:headerReference w:type="default" r:id="rId9"/>
          <w:pgSz w:w="11906" w:h="16838"/>
          <w:pgMar w:top="567" w:right="1134" w:bottom="1134" w:left="1418" w:header="1418" w:footer="1134" w:gutter="0"/>
          <w:pgNumType w:start="1"/>
          <w:cols w:space="720"/>
          <w:formProt w:val="0"/>
          <w:titlePg/>
          <w:docGrid w:type="lines" w:linePitch="312"/>
        </w:sectPr>
      </w:pPr>
    </w:p>
    <w:p w14:paraId="1A5ED92B" w14:textId="77777777" w:rsidR="00A0273A" w:rsidRDefault="00000000">
      <w:pPr>
        <w:pStyle w:val="a0"/>
        <w:numPr>
          <w:ilvl w:val="0"/>
          <w:numId w:val="0"/>
        </w:numPr>
        <w:outlineLvl w:val="9"/>
        <w:rPr>
          <w:sz w:val="24"/>
          <w:szCs w:val="24"/>
        </w:rPr>
      </w:pPr>
      <w:bookmarkStart w:id="0" w:name="_Toc81313269"/>
      <w:bookmarkStart w:id="1" w:name="_Toc81313190"/>
      <w:bookmarkStart w:id="2" w:name="_Toc71813282"/>
      <w:r>
        <w:rPr>
          <w:rFonts w:hint="eastAsia"/>
          <w:sz w:val="24"/>
          <w:szCs w:val="24"/>
        </w:rPr>
        <w:lastRenderedPageBreak/>
        <w:t>（一）任务来源，工作简要过程、主要参编单位和工作组成员</w:t>
      </w:r>
      <w:bookmarkEnd w:id="0"/>
      <w:bookmarkEnd w:id="1"/>
      <w:bookmarkEnd w:id="2"/>
    </w:p>
    <w:p w14:paraId="43BDF5D3" w14:textId="77777777" w:rsidR="00A0273A" w:rsidRDefault="00000000">
      <w:pPr>
        <w:autoSpaceDE w:val="0"/>
        <w:autoSpaceDN w:val="0"/>
        <w:adjustRightInd w:val="0"/>
        <w:spacing w:beforeLines="50" w:before="156" w:afterLines="50" w:after="156"/>
        <w:ind w:firstLineChars="202" w:firstLine="426"/>
        <w:rPr>
          <w:b/>
          <w:bCs/>
          <w:color w:val="000000"/>
          <w:kern w:val="0"/>
        </w:rPr>
      </w:pPr>
      <w:r>
        <w:rPr>
          <w:rFonts w:hint="eastAsia"/>
          <w:b/>
          <w:bCs/>
          <w:color w:val="000000"/>
          <w:kern w:val="0"/>
        </w:rPr>
        <w:t>1</w:t>
      </w:r>
      <w:r>
        <w:rPr>
          <w:rFonts w:hint="eastAsia"/>
          <w:b/>
          <w:bCs/>
          <w:color w:val="000000"/>
          <w:kern w:val="0"/>
        </w:rPr>
        <w:t>、</w:t>
      </w:r>
      <w:r>
        <w:rPr>
          <w:b/>
          <w:bCs/>
          <w:color w:val="000000"/>
          <w:kern w:val="0"/>
        </w:rPr>
        <w:t>任务来源</w:t>
      </w:r>
    </w:p>
    <w:p w14:paraId="698C8A20" w14:textId="77777777" w:rsidR="00A0273A" w:rsidRDefault="00000000">
      <w:pPr>
        <w:autoSpaceDE w:val="0"/>
        <w:autoSpaceDN w:val="0"/>
        <w:adjustRightInd w:val="0"/>
        <w:ind w:firstLineChars="202" w:firstLine="424"/>
        <w:rPr>
          <w:color w:val="000000"/>
          <w:kern w:val="0"/>
        </w:rPr>
      </w:pPr>
      <w:r>
        <w:t>《</w:t>
      </w:r>
      <w:r>
        <w:rPr>
          <w:rFonts w:hint="eastAsia"/>
        </w:rPr>
        <w:t>中国电机工程学会</w:t>
      </w:r>
      <w:r>
        <w:t>关于印发</w:t>
      </w:r>
      <w:r>
        <w:rPr>
          <w:rFonts w:hint="eastAsia"/>
        </w:rPr>
        <w:t>“中国电机工程学会</w:t>
      </w:r>
      <w:r>
        <w:rPr>
          <w:rFonts w:hint="eastAsia"/>
        </w:rPr>
        <w:t>2</w:t>
      </w:r>
      <w:r>
        <w:t>02</w:t>
      </w:r>
      <w:r>
        <w:rPr>
          <w:rFonts w:hint="eastAsia"/>
        </w:rPr>
        <w:t>3</w:t>
      </w:r>
      <w:r>
        <w:rPr>
          <w:rFonts w:hint="eastAsia"/>
        </w:rPr>
        <w:t>年标准计划（第二批）”</w:t>
      </w:r>
      <w:r>
        <w:t>的通知》（</w:t>
      </w:r>
      <w:r>
        <w:rPr>
          <w:rFonts w:hint="eastAsia"/>
        </w:rPr>
        <w:t>电机</w:t>
      </w:r>
      <w:proofErr w:type="gramStart"/>
      <w:r>
        <w:rPr>
          <w:rFonts w:hint="eastAsia"/>
          <w:color w:val="000000"/>
          <w:kern w:val="0"/>
        </w:rPr>
        <w:t>咨</w:t>
      </w:r>
      <w:proofErr w:type="gramEnd"/>
      <w:r>
        <w:rPr>
          <w:color w:val="000000"/>
          <w:kern w:val="0"/>
        </w:rPr>
        <w:t>〔</w:t>
      </w:r>
      <w:r>
        <w:rPr>
          <w:color w:val="000000"/>
          <w:kern w:val="0"/>
        </w:rPr>
        <w:t>202</w:t>
      </w:r>
      <w:r>
        <w:rPr>
          <w:rFonts w:hint="eastAsia"/>
          <w:color w:val="000000"/>
          <w:kern w:val="0"/>
        </w:rPr>
        <w:t>3</w:t>
      </w:r>
      <w:r>
        <w:rPr>
          <w:color w:val="000000"/>
          <w:kern w:val="0"/>
        </w:rPr>
        <w:t>〕</w:t>
      </w:r>
      <w:r>
        <w:rPr>
          <w:rFonts w:hint="eastAsia"/>
          <w:color w:val="000000"/>
          <w:kern w:val="0"/>
        </w:rPr>
        <w:t>51</w:t>
      </w:r>
      <w:r>
        <w:rPr>
          <w:color w:val="000000"/>
          <w:kern w:val="0"/>
        </w:rPr>
        <w:t>2</w:t>
      </w:r>
      <w:r>
        <w:rPr>
          <w:color w:val="000000"/>
          <w:kern w:val="0"/>
        </w:rPr>
        <w:t>号）。</w:t>
      </w:r>
    </w:p>
    <w:p w14:paraId="4F9BCBBC" w14:textId="77777777" w:rsidR="00A0273A" w:rsidRDefault="00000000">
      <w:pPr>
        <w:autoSpaceDE w:val="0"/>
        <w:autoSpaceDN w:val="0"/>
        <w:adjustRightInd w:val="0"/>
        <w:spacing w:beforeLines="50" w:before="156" w:afterLines="50" w:after="156"/>
        <w:ind w:firstLineChars="202" w:firstLine="426"/>
        <w:rPr>
          <w:b/>
          <w:bCs/>
          <w:color w:val="000000"/>
          <w:kern w:val="0"/>
        </w:rPr>
      </w:pPr>
      <w:r>
        <w:rPr>
          <w:rFonts w:hint="eastAsia"/>
          <w:b/>
          <w:bCs/>
          <w:color w:val="000000"/>
          <w:kern w:val="0"/>
        </w:rPr>
        <w:t>2</w:t>
      </w:r>
      <w:r>
        <w:rPr>
          <w:rFonts w:hint="eastAsia"/>
          <w:b/>
          <w:bCs/>
          <w:color w:val="000000"/>
          <w:kern w:val="0"/>
        </w:rPr>
        <w:t>、工作过程</w:t>
      </w:r>
    </w:p>
    <w:p w14:paraId="26E3CA88" w14:textId="77777777" w:rsidR="00A0273A" w:rsidRDefault="00000000">
      <w:pPr>
        <w:autoSpaceDE w:val="0"/>
        <w:autoSpaceDN w:val="0"/>
        <w:adjustRightInd w:val="0"/>
        <w:ind w:firstLineChars="202" w:firstLine="424"/>
        <w:rPr>
          <w:color w:val="000000"/>
        </w:rPr>
      </w:pPr>
      <w:r>
        <w:t>202</w:t>
      </w:r>
      <w:r>
        <w:rPr>
          <w:rFonts w:hint="eastAsia"/>
        </w:rPr>
        <w:t>4</w:t>
      </w:r>
      <w:r>
        <w:t>年</w:t>
      </w:r>
      <w:r>
        <w:t>1</w:t>
      </w:r>
      <w:r>
        <w:t>月，</w:t>
      </w:r>
      <w:r>
        <w:rPr>
          <w:rFonts w:hint="eastAsia"/>
        </w:rPr>
        <w:t>任务启动，</w:t>
      </w:r>
      <w:r>
        <w:rPr>
          <w:color w:val="000000"/>
        </w:rPr>
        <w:t>成立了</w:t>
      </w:r>
      <w:r>
        <w:rPr>
          <w:rFonts w:hint="eastAsia"/>
          <w:color w:val="000000"/>
        </w:rPr>
        <w:t>标准</w:t>
      </w:r>
      <w:r>
        <w:rPr>
          <w:color w:val="000000"/>
        </w:rPr>
        <w:t>编写工作组（</w:t>
      </w:r>
      <w:r>
        <w:rPr>
          <w:rFonts w:hint="eastAsia"/>
          <w:color w:val="000000"/>
        </w:rPr>
        <w:t>简称编写组）。</w:t>
      </w:r>
    </w:p>
    <w:p w14:paraId="0BDD9814" w14:textId="77777777" w:rsidR="00A0273A" w:rsidRDefault="00000000">
      <w:pPr>
        <w:autoSpaceDE w:val="0"/>
        <w:autoSpaceDN w:val="0"/>
        <w:adjustRightInd w:val="0"/>
        <w:ind w:firstLineChars="202" w:firstLine="424"/>
        <w:rPr>
          <w:color w:val="000000"/>
        </w:rPr>
      </w:pPr>
      <w:r>
        <w:rPr>
          <w:rFonts w:hint="eastAsia"/>
          <w:color w:val="000000"/>
        </w:rPr>
        <w:t>20</w:t>
      </w:r>
      <w:r>
        <w:rPr>
          <w:color w:val="000000"/>
        </w:rPr>
        <w:t>2</w:t>
      </w:r>
      <w:r>
        <w:rPr>
          <w:rFonts w:hint="eastAsia"/>
          <w:color w:val="000000"/>
        </w:rPr>
        <w:t>4</w:t>
      </w:r>
      <w:r>
        <w:rPr>
          <w:rFonts w:hint="eastAsia"/>
          <w:color w:val="000000"/>
        </w:rPr>
        <w:t>年</w:t>
      </w:r>
      <w:r>
        <w:rPr>
          <w:color w:val="000000"/>
        </w:rPr>
        <w:t>2</w:t>
      </w:r>
      <w:r>
        <w:rPr>
          <w:rFonts w:hint="eastAsia"/>
          <w:color w:val="000000"/>
        </w:rPr>
        <w:t>月，</w:t>
      </w:r>
      <w:r>
        <w:rPr>
          <w:rFonts w:hint="eastAsia"/>
        </w:rPr>
        <w:t>对国内外从事</w:t>
      </w:r>
      <w:proofErr w:type="gramStart"/>
      <w:r>
        <w:rPr>
          <w:rFonts w:hint="eastAsia"/>
        </w:rPr>
        <w:t>全氟异</w:t>
      </w:r>
      <w:proofErr w:type="gramEnd"/>
      <w:r>
        <w:rPr>
          <w:rFonts w:hint="eastAsia"/>
        </w:rPr>
        <w:t>丁腈气体及装备技术研究的单位开展了气</w:t>
      </w:r>
      <w:proofErr w:type="gramStart"/>
      <w:r>
        <w:rPr>
          <w:rFonts w:hint="eastAsia"/>
        </w:rPr>
        <w:t>固材料</w:t>
      </w:r>
      <w:proofErr w:type="gramEnd"/>
      <w:r>
        <w:rPr>
          <w:rFonts w:hint="eastAsia"/>
        </w:rPr>
        <w:t>相容性技术调研，提出了</w:t>
      </w:r>
      <w:proofErr w:type="gramStart"/>
      <w:r>
        <w:rPr>
          <w:rFonts w:hint="eastAsia"/>
        </w:rPr>
        <w:t>全氟异</w:t>
      </w:r>
      <w:proofErr w:type="gramEnd"/>
      <w:r>
        <w:rPr>
          <w:rFonts w:hint="eastAsia"/>
        </w:rPr>
        <w:t>丁腈混合气体与电气设备常用固体材料相容性的试样、装置和试验</w:t>
      </w:r>
      <w:r>
        <w:t>等</w:t>
      </w:r>
      <w:r>
        <w:rPr>
          <w:rFonts w:hint="eastAsia"/>
        </w:rPr>
        <w:t>相关技术要求</w:t>
      </w:r>
      <w:r>
        <w:rPr>
          <w:color w:val="000000"/>
        </w:rPr>
        <w:t>，</w:t>
      </w:r>
      <w:r>
        <w:rPr>
          <w:rFonts w:hint="eastAsia"/>
          <w:color w:val="000000"/>
        </w:rPr>
        <w:t>编写</w:t>
      </w:r>
      <w:r>
        <w:rPr>
          <w:color w:val="000000"/>
        </w:rPr>
        <w:t>了</w:t>
      </w:r>
      <w:r>
        <w:rPr>
          <w:rFonts w:hint="eastAsia"/>
          <w:color w:val="000000"/>
        </w:rPr>
        <w:t>标准初稿。</w:t>
      </w:r>
    </w:p>
    <w:p w14:paraId="4F1FF47B" w14:textId="77777777" w:rsidR="00A0273A" w:rsidRDefault="00000000">
      <w:pPr>
        <w:autoSpaceDE w:val="0"/>
        <w:autoSpaceDN w:val="0"/>
        <w:adjustRightInd w:val="0"/>
        <w:ind w:firstLineChars="202" w:firstLine="424"/>
        <w:rPr>
          <w:color w:val="000000"/>
        </w:rPr>
      </w:pPr>
      <w:r>
        <w:rPr>
          <w:rFonts w:hint="eastAsia"/>
          <w:color w:val="000000"/>
        </w:rPr>
        <w:t>20</w:t>
      </w:r>
      <w:r>
        <w:rPr>
          <w:color w:val="000000"/>
        </w:rPr>
        <w:t>2</w:t>
      </w:r>
      <w:r>
        <w:rPr>
          <w:rFonts w:hint="eastAsia"/>
          <w:color w:val="000000"/>
        </w:rPr>
        <w:t>4</w:t>
      </w:r>
      <w:r>
        <w:rPr>
          <w:rFonts w:hint="eastAsia"/>
          <w:color w:val="000000"/>
        </w:rPr>
        <w:t>年</w:t>
      </w:r>
      <w:r>
        <w:rPr>
          <w:color w:val="000000"/>
        </w:rPr>
        <w:t>3</w:t>
      </w:r>
      <w:r>
        <w:rPr>
          <w:rFonts w:hint="eastAsia"/>
          <w:color w:val="000000"/>
        </w:rPr>
        <w:t>月</w:t>
      </w:r>
      <w:r>
        <w:rPr>
          <w:rFonts w:hint="eastAsia"/>
          <w:color w:val="000000"/>
        </w:rPr>
        <w:t>7</w:t>
      </w:r>
      <w:r>
        <w:rPr>
          <w:rFonts w:hint="eastAsia"/>
          <w:color w:val="000000"/>
        </w:rPr>
        <w:t>日，编写组</w:t>
      </w:r>
      <w:r>
        <w:rPr>
          <w:color w:val="000000"/>
        </w:rPr>
        <w:t>召开了</w:t>
      </w:r>
      <w:r>
        <w:rPr>
          <w:rFonts w:hint="eastAsia"/>
          <w:color w:val="000000"/>
        </w:rPr>
        <w:t>标准初稿的线上讨论</w:t>
      </w:r>
      <w:r>
        <w:rPr>
          <w:color w:val="000000"/>
        </w:rPr>
        <w:t>会</w:t>
      </w:r>
      <w:r>
        <w:rPr>
          <w:rFonts w:hint="eastAsia"/>
          <w:color w:val="000000"/>
        </w:rPr>
        <w:t>，对</w:t>
      </w:r>
      <w:r>
        <w:rPr>
          <w:rFonts w:hint="eastAsia"/>
        </w:rPr>
        <w:t>气</w:t>
      </w:r>
      <w:proofErr w:type="gramStart"/>
      <w:r>
        <w:rPr>
          <w:rFonts w:hint="eastAsia"/>
        </w:rPr>
        <w:t>固材料</w:t>
      </w:r>
      <w:proofErr w:type="gramEnd"/>
      <w:r>
        <w:rPr>
          <w:rFonts w:hint="eastAsia"/>
        </w:rPr>
        <w:t>相容性试验的试样、条件、装置和流程</w:t>
      </w:r>
      <w:r>
        <w:rPr>
          <w:rFonts w:hint="eastAsia"/>
          <w:color w:val="000000"/>
        </w:rPr>
        <w:t>进行了初步讨论，修改了标准初稿。</w:t>
      </w:r>
    </w:p>
    <w:p w14:paraId="17F2FBE3" w14:textId="77777777" w:rsidR="00A0273A" w:rsidRDefault="00000000">
      <w:pPr>
        <w:autoSpaceDE w:val="0"/>
        <w:autoSpaceDN w:val="0"/>
        <w:adjustRightInd w:val="0"/>
        <w:ind w:firstLineChars="202" w:firstLine="424"/>
        <w:rPr>
          <w:color w:val="000000"/>
        </w:rPr>
      </w:pPr>
      <w:r>
        <w:rPr>
          <w:rFonts w:hint="eastAsia"/>
          <w:color w:val="000000"/>
        </w:rPr>
        <w:t>20</w:t>
      </w:r>
      <w:r>
        <w:rPr>
          <w:color w:val="000000"/>
        </w:rPr>
        <w:t>2</w:t>
      </w:r>
      <w:r>
        <w:rPr>
          <w:rFonts w:hint="eastAsia"/>
          <w:color w:val="000000"/>
        </w:rPr>
        <w:t>4</w:t>
      </w:r>
      <w:r>
        <w:rPr>
          <w:rFonts w:hint="eastAsia"/>
          <w:color w:val="000000"/>
        </w:rPr>
        <w:t>年</w:t>
      </w:r>
      <w:r>
        <w:rPr>
          <w:rFonts w:hint="eastAsia"/>
          <w:color w:val="000000"/>
        </w:rPr>
        <w:t>5</w:t>
      </w:r>
      <w:r>
        <w:rPr>
          <w:rFonts w:hint="eastAsia"/>
          <w:color w:val="000000"/>
        </w:rPr>
        <w:t>月</w:t>
      </w:r>
      <w:r>
        <w:rPr>
          <w:rFonts w:hint="eastAsia"/>
          <w:color w:val="000000"/>
        </w:rPr>
        <w:t>24</w:t>
      </w:r>
      <w:r>
        <w:rPr>
          <w:rFonts w:hint="eastAsia"/>
          <w:color w:val="000000"/>
        </w:rPr>
        <w:t>日，编写组在北京</w:t>
      </w:r>
      <w:r>
        <w:rPr>
          <w:color w:val="000000"/>
        </w:rPr>
        <w:t>召开了</w:t>
      </w:r>
      <w:r>
        <w:rPr>
          <w:rFonts w:hint="eastAsia"/>
          <w:color w:val="000000"/>
        </w:rPr>
        <w:t>标准初稿技术讨论会，进行了逐条修改，进一步细化讨论了</w:t>
      </w:r>
      <w:r>
        <w:rPr>
          <w:rFonts w:hint="eastAsia"/>
        </w:rPr>
        <w:t>气</w:t>
      </w:r>
      <w:proofErr w:type="gramStart"/>
      <w:r>
        <w:rPr>
          <w:rFonts w:hint="eastAsia"/>
        </w:rPr>
        <w:t>固材料</w:t>
      </w:r>
      <w:proofErr w:type="gramEnd"/>
      <w:r>
        <w:rPr>
          <w:rFonts w:hint="eastAsia"/>
        </w:rPr>
        <w:t>相容性</w:t>
      </w:r>
      <w:r>
        <w:rPr>
          <w:rFonts w:hint="eastAsia"/>
          <w:color w:val="000000"/>
        </w:rPr>
        <w:t>的技术要求和试验方法，完善了标准初稿。</w:t>
      </w:r>
    </w:p>
    <w:p w14:paraId="5FB5E7D7" w14:textId="59F64A87" w:rsidR="00A0273A" w:rsidRPr="0007295E" w:rsidRDefault="00000000">
      <w:pPr>
        <w:autoSpaceDE w:val="0"/>
        <w:autoSpaceDN w:val="0"/>
        <w:adjustRightInd w:val="0"/>
        <w:ind w:firstLineChars="202" w:firstLine="424"/>
        <w:rPr>
          <w:color w:val="000000"/>
        </w:rPr>
      </w:pPr>
      <w:r w:rsidRPr="0007295E">
        <w:rPr>
          <w:color w:val="000000"/>
        </w:rPr>
        <w:t>202</w:t>
      </w:r>
      <w:r w:rsidRPr="0007295E">
        <w:rPr>
          <w:rFonts w:hint="eastAsia"/>
          <w:color w:val="000000"/>
        </w:rPr>
        <w:t>4</w:t>
      </w:r>
      <w:r w:rsidRPr="0007295E">
        <w:rPr>
          <w:rFonts w:hint="eastAsia"/>
          <w:color w:val="000000"/>
        </w:rPr>
        <w:t>年</w:t>
      </w:r>
      <w:r w:rsidRPr="0007295E">
        <w:rPr>
          <w:rFonts w:hint="eastAsia"/>
          <w:color w:val="000000"/>
        </w:rPr>
        <w:t>8</w:t>
      </w:r>
      <w:r w:rsidRPr="0007295E">
        <w:rPr>
          <w:rFonts w:hint="eastAsia"/>
          <w:color w:val="000000"/>
        </w:rPr>
        <w:t>月</w:t>
      </w:r>
      <w:r w:rsidRPr="0007295E">
        <w:rPr>
          <w:rFonts w:hint="eastAsia"/>
          <w:color w:val="000000"/>
        </w:rPr>
        <w:t>9</w:t>
      </w:r>
      <w:r w:rsidRPr="0007295E">
        <w:rPr>
          <w:rFonts w:hint="eastAsia"/>
          <w:color w:val="000000"/>
        </w:rPr>
        <w:t>日，编写组邀请了行业内专家，对标准条文进行了逐条讨论，提出了标准的详细修改意见，完成了初稿的修改</w:t>
      </w:r>
      <w:r w:rsidR="0007295E">
        <w:rPr>
          <w:rFonts w:hint="eastAsia"/>
          <w:color w:val="000000"/>
        </w:rPr>
        <w:t>，形成征求意见稿</w:t>
      </w:r>
      <w:r w:rsidRPr="0007295E">
        <w:rPr>
          <w:rFonts w:hint="eastAsia"/>
          <w:color w:val="000000"/>
        </w:rPr>
        <w:t>。</w:t>
      </w:r>
    </w:p>
    <w:p w14:paraId="7542C3C8" w14:textId="77777777" w:rsidR="00A0273A" w:rsidRDefault="00000000">
      <w:pPr>
        <w:autoSpaceDE w:val="0"/>
        <w:autoSpaceDN w:val="0"/>
        <w:adjustRightInd w:val="0"/>
        <w:spacing w:beforeLines="50" w:before="156" w:afterLines="50" w:after="156"/>
        <w:ind w:firstLineChars="202" w:firstLine="426"/>
        <w:rPr>
          <w:b/>
          <w:bCs/>
          <w:color w:val="000000"/>
          <w:kern w:val="0"/>
        </w:rPr>
      </w:pPr>
      <w:r>
        <w:rPr>
          <w:rFonts w:hint="eastAsia"/>
          <w:b/>
          <w:bCs/>
          <w:color w:val="000000"/>
          <w:kern w:val="0"/>
        </w:rPr>
        <w:t>3</w:t>
      </w:r>
      <w:r>
        <w:rPr>
          <w:rFonts w:hint="eastAsia"/>
          <w:b/>
          <w:bCs/>
          <w:color w:val="000000"/>
          <w:kern w:val="0"/>
        </w:rPr>
        <w:t>、起草单位和起草人员</w:t>
      </w:r>
    </w:p>
    <w:p w14:paraId="1D5DC8BE" w14:textId="77777777" w:rsidR="00A0273A" w:rsidRDefault="00000000">
      <w:pPr>
        <w:ind w:firstLineChars="200" w:firstLine="420"/>
      </w:pPr>
      <w:r>
        <w:t>本</w:t>
      </w:r>
      <w:r>
        <w:rPr>
          <w:rFonts w:hint="eastAsia"/>
        </w:rPr>
        <w:t>标准的</w:t>
      </w:r>
      <w:r>
        <w:t>起草单位：中国电力科学研究院有限公司</w:t>
      </w:r>
      <w:r>
        <w:rPr>
          <w:rFonts w:hint="eastAsia"/>
        </w:rPr>
        <w:t>，中国科学院电工研究所，武汉大学，</w:t>
      </w:r>
      <w:proofErr w:type="gramStart"/>
      <w:r>
        <w:t>国网安徽省</w:t>
      </w:r>
      <w:proofErr w:type="gramEnd"/>
      <w:r>
        <w:t>电力有限公司电力科学研究院</w:t>
      </w:r>
      <w:r>
        <w:rPr>
          <w:rFonts w:hint="eastAsia"/>
        </w:rPr>
        <w:t>，平高集团有限公司，北京宇极科技发展有限公司，</w:t>
      </w:r>
      <w:proofErr w:type="gramStart"/>
      <w:r>
        <w:rPr>
          <w:rFonts w:hint="eastAsia"/>
        </w:rPr>
        <w:t>昊</w:t>
      </w:r>
      <w:proofErr w:type="gramEnd"/>
      <w:r>
        <w:rPr>
          <w:rFonts w:hint="eastAsia"/>
        </w:rPr>
        <w:t>华气体有限公司，上海华爱色谱分析技术有限公司，</w:t>
      </w:r>
      <w:proofErr w:type="gramStart"/>
      <w:r>
        <w:rPr>
          <w:rFonts w:hint="eastAsia"/>
        </w:rPr>
        <w:t>国网</w:t>
      </w:r>
      <w:r>
        <w:t>电力</w:t>
      </w:r>
      <w:proofErr w:type="gramEnd"/>
      <w:r>
        <w:t>科学研究院</w:t>
      </w:r>
      <w:proofErr w:type="gramStart"/>
      <w:r>
        <w:t>武汉南瑞有限责任公司</w:t>
      </w:r>
      <w:proofErr w:type="gramEnd"/>
      <w:r>
        <w:rPr>
          <w:rFonts w:hint="eastAsia"/>
        </w:rPr>
        <w:t>。</w:t>
      </w:r>
    </w:p>
    <w:p w14:paraId="31EAE8E1" w14:textId="77777777" w:rsidR="00A0273A" w:rsidRDefault="00000000">
      <w:pPr>
        <w:ind w:firstLineChars="200" w:firstLine="420"/>
      </w:pPr>
      <w:r>
        <w:t>本</w:t>
      </w:r>
      <w:r>
        <w:rPr>
          <w:rFonts w:hint="eastAsia"/>
        </w:rPr>
        <w:t>标准的</w:t>
      </w:r>
      <w:r>
        <w:t>主要起草人：</w:t>
      </w:r>
      <w:r>
        <w:rPr>
          <w:szCs w:val="21"/>
        </w:rPr>
        <w:t>高克利，</w:t>
      </w:r>
      <w:r>
        <w:rPr>
          <w:rFonts w:hint="eastAsia"/>
          <w:szCs w:val="21"/>
        </w:rPr>
        <w:t>颜湘莲，韩冬，郑宇，黄印，刘伟，叶三排，王雯，方华，刘晓波等</w:t>
      </w:r>
      <w:r>
        <w:rPr>
          <w:rFonts w:hint="eastAsia"/>
        </w:rPr>
        <w:t>。</w:t>
      </w:r>
    </w:p>
    <w:p w14:paraId="1BF4E0FF" w14:textId="77777777" w:rsidR="00A0273A" w:rsidRDefault="00000000">
      <w:pPr>
        <w:pStyle w:val="a0"/>
        <w:numPr>
          <w:ilvl w:val="0"/>
          <w:numId w:val="0"/>
        </w:numPr>
        <w:outlineLvl w:val="9"/>
        <w:rPr>
          <w:sz w:val="24"/>
          <w:szCs w:val="24"/>
        </w:rPr>
      </w:pPr>
      <w:bookmarkStart w:id="3" w:name="_Toc71813283"/>
      <w:bookmarkStart w:id="4" w:name="_Toc81313270"/>
      <w:bookmarkStart w:id="5" w:name="_Toc81313191"/>
      <w:r>
        <w:rPr>
          <w:rFonts w:hint="eastAsia"/>
          <w:sz w:val="24"/>
          <w:szCs w:val="24"/>
        </w:rPr>
        <w:t>（二）标准编写原则和主要内容</w:t>
      </w:r>
      <w:bookmarkEnd w:id="3"/>
      <w:bookmarkEnd w:id="4"/>
      <w:bookmarkEnd w:id="5"/>
    </w:p>
    <w:p w14:paraId="1C6867A3" w14:textId="77777777" w:rsidR="00A0273A" w:rsidRDefault="00000000">
      <w:pPr>
        <w:autoSpaceDE w:val="0"/>
        <w:autoSpaceDN w:val="0"/>
        <w:adjustRightInd w:val="0"/>
        <w:spacing w:beforeLines="50" w:before="156" w:afterLines="50" w:after="156"/>
        <w:ind w:firstLineChars="202" w:firstLine="426"/>
        <w:rPr>
          <w:b/>
          <w:bCs/>
          <w:color w:val="000000"/>
          <w:kern w:val="0"/>
        </w:rPr>
      </w:pPr>
      <w:r>
        <w:rPr>
          <w:b/>
          <w:bCs/>
          <w:color w:val="000000"/>
          <w:kern w:val="0"/>
        </w:rPr>
        <w:t>1</w:t>
      </w:r>
      <w:r>
        <w:rPr>
          <w:rFonts w:hint="eastAsia"/>
          <w:b/>
          <w:bCs/>
          <w:color w:val="000000"/>
          <w:kern w:val="0"/>
        </w:rPr>
        <w:t>、标准</w:t>
      </w:r>
      <w:r>
        <w:rPr>
          <w:b/>
          <w:bCs/>
          <w:color w:val="000000"/>
          <w:kern w:val="0"/>
        </w:rPr>
        <w:t>编写原则</w:t>
      </w:r>
    </w:p>
    <w:p w14:paraId="6C5C9940" w14:textId="77777777" w:rsidR="00A0273A" w:rsidRDefault="00000000">
      <w:pPr>
        <w:tabs>
          <w:tab w:val="left" w:pos="2784"/>
        </w:tabs>
        <w:ind w:firstLineChars="202" w:firstLine="424"/>
      </w:pPr>
      <w:r>
        <w:rPr>
          <w:rFonts w:hint="eastAsia"/>
        </w:rPr>
        <w:t>本标准依据以下原则编写：</w:t>
      </w:r>
    </w:p>
    <w:p w14:paraId="37701F91" w14:textId="77777777" w:rsidR="00A0273A" w:rsidRDefault="00000000">
      <w:pPr>
        <w:tabs>
          <w:tab w:val="left" w:pos="2784"/>
        </w:tabs>
        <w:ind w:firstLineChars="202" w:firstLine="424"/>
      </w:pPr>
      <w:r>
        <w:t>（</w:t>
      </w:r>
      <w:r>
        <w:t>1</w:t>
      </w:r>
      <w:r>
        <w:t>）突出了</w:t>
      </w:r>
      <w:proofErr w:type="gramStart"/>
      <w:r>
        <w:rPr>
          <w:rFonts w:hint="eastAsia"/>
        </w:rPr>
        <w:t>全氟异</w:t>
      </w:r>
      <w:proofErr w:type="gramEnd"/>
      <w:r>
        <w:rPr>
          <w:rFonts w:hint="eastAsia"/>
        </w:rPr>
        <w:t>丁腈混合气体绝缘电气设备运行工况及长期稳定性</w:t>
      </w:r>
      <w:r>
        <w:t>的技术特点和工程应用需求；</w:t>
      </w:r>
    </w:p>
    <w:p w14:paraId="6377C621" w14:textId="77777777" w:rsidR="00A0273A" w:rsidRDefault="00000000">
      <w:pPr>
        <w:tabs>
          <w:tab w:val="left" w:pos="2784"/>
        </w:tabs>
        <w:ind w:firstLineChars="202" w:firstLine="424"/>
      </w:pPr>
      <w:r>
        <w:t>（</w:t>
      </w:r>
      <w:r>
        <w:t>2</w:t>
      </w:r>
      <w:r>
        <w:t>）以</w:t>
      </w:r>
      <w:r>
        <w:rPr>
          <w:rFonts w:hint="eastAsia"/>
        </w:rPr>
        <w:t>现有的气体与固体材料相容性或老化性能试验能力</w:t>
      </w:r>
      <w:r>
        <w:t>为</w:t>
      </w:r>
      <w:r>
        <w:rPr>
          <w:rFonts w:hint="eastAsia"/>
        </w:rPr>
        <w:t>基础</w:t>
      </w:r>
      <w:r>
        <w:t>，力求稳步推进</w:t>
      </w:r>
      <w:proofErr w:type="gramStart"/>
      <w:r>
        <w:rPr>
          <w:rFonts w:hint="eastAsia"/>
        </w:rPr>
        <w:t>全氟异</w:t>
      </w:r>
      <w:proofErr w:type="gramEnd"/>
      <w:r>
        <w:rPr>
          <w:rFonts w:hint="eastAsia"/>
        </w:rPr>
        <w:t>丁腈电气设备的推广和应用水平</w:t>
      </w:r>
      <w:r>
        <w:t>。</w:t>
      </w:r>
    </w:p>
    <w:p w14:paraId="04F8D2A2" w14:textId="77777777" w:rsidR="00A0273A" w:rsidRDefault="00000000">
      <w:pPr>
        <w:autoSpaceDE w:val="0"/>
        <w:autoSpaceDN w:val="0"/>
        <w:adjustRightInd w:val="0"/>
        <w:spacing w:beforeLines="50" w:before="156" w:afterLines="50" w:after="156"/>
        <w:ind w:firstLineChars="202" w:firstLine="426"/>
        <w:rPr>
          <w:b/>
          <w:bCs/>
          <w:color w:val="000000"/>
          <w:kern w:val="0"/>
        </w:rPr>
      </w:pPr>
      <w:r>
        <w:rPr>
          <w:b/>
          <w:bCs/>
          <w:color w:val="000000"/>
          <w:kern w:val="0"/>
        </w:rPr>
        <w:t>2</w:t>
      </w:r>
      <w:r>
        <w:rPr>
          <w:rFonts w:hint="eastAsia"/>
          <w:b/>
          <w:bCs/>
          <w:color w:val="000000"/>
          <w:kern w:val="0"/>
        </w:rPr>
        <w:t>、标准</w:t>
      </w:r>
      <w:r>
        <w:rPr>
          <w:b/>
          <w:bCs/>
          <w:color w:val="000000"/>
          <w:kern w:val="0"/>
        </w:rPr>
        <w:t>的</w:t>
      </w:r>
      <w:r>
        <w:rPr>
          <w:rFonts w:hint="eastAsia"/>
          <w:b/>
          <w:bCs/>
          <w:color w:val="000000"/>
          <w:kern w:val="0"/>
        </w:rPr>
        <w:t>主要内容</w:t>
      </w:r>
    </w:p>
    <w:p w14:paraId="58B540E1" w14:textId="77777777" w:rsidR="00A0273A" w:rsidRDefault="00000000">
      <w:pPr>
        <w:pStyle w:val="ae"/>
        <w:ind w:firstLineChars="202" w:firstLine="424"/>
        <w:rPr>
          <w:rFonts w:ascii="Times New Roman"/>
          <w:szCs w:val="21"/>
        </w:rPr>
      </w:pPr>
      <w:r>
        <w:rPr>
          <w:rFonts w:ascii="Times New Roman"/>
          <w:kern w:val="2"/>
          <w:szCs w:val="21"/>
        </w:rPr>
        <w:t>本</w:t>
      </w:r>
      <w:r>
        <w:rPr>
          <w:rFonts w:ascii="Times New Roman" w:hint="eastAsia"/>
          <w:kern w:val="2"/>
          <w:szCs w:val="21"/>
        </w:rPr>
        <w:t>标准</w:t>
      </w:r>
      <w:r>
        <w:rPr>
          <w:rFonts w:ascii="Times New Roman"/>
          <w:kern w:val="2"/>
          <w:szCs w:val="21"/>
        </w:rPr>
        <w:t>的</w:t>
      </w:r>
      <w:r>
        <w:rPr>
          <w:rFonts w:ascii="Times New Roman" w:hint="eastAsia"/>
          <w:szCs w:val="21"/>
        </w:rPr>
        <w:t>主题章</w:t>
      </w:r>
      <w:r>
        <w:rPr>
          <w:rFonts w:ascii="Times New Roman"/>
          <w:szCs w:val="21"/>
        </w:rPr>
        <w:t>为</w:t>
      </w:r>
      <w:r>
        <w:rPr>
          <w:rFonts w:ascii="Times New Roman" w:hint="eastAsia"/>
          <w:szCs w:val="21"/>
        </w:rPr>
        <w:t>4</w:t>
      </w:r>
      <w:r>
        <w:rPr>
          <w:rFonts w:ascii="Times New Roman"/>
          <w:szCs w:val="21"/>
        </w:rPr>
        <w:t>章，分别为第</w:t>
      </w:r>
      <w:r>
        <w:rPr>
          <w:rFonts w:ascii="Times New Roman"/>
          <w:szCs w:val="21"/>
        </w:rPr>
        <w:t>4</w:t>
      </w:r>
      <w:r>
        <w:rPr>
          <w:rFonts w:ascii="Times New Roman"/>
          <w:szCs w:val="21"/>
        </w:rPr>
        <w:t>章至第</w:t>
      </w:r>
      <w:r>
        <w:rPr>
          <w:rFonts w:ascii="Times New Roman" w:hint="eastAsia"/>
          <w:szCs w:val="21"/>
        </w:rPr>
        <w:t>7</w:t>
      </w:r>
      <w:r>
        <w:rPr>
          <w:rFonts w:ascii="Times New Roman"/>
          <w:szCs w:val="21"/>
        </w:rPr>
        <w:t>章</w:t>
      </w:r>
      <w:r>
        <w:rPr>
          <w:rFonts w:ascii="Times New Roman" w:hint="eastAsia"/>
          <w:szCs w:val="21"/>
        </w:rPr>
        <w:t>，其中第</w:t>
      </w:r>
      <w:r>
        <w:rPr>
          <w:rFonts w:ascii="Times New Roman"/>
          <w:szCs w:val="21"/>
        </w:rPr>
        <w:t>5</w:t>
      </w:r>
      <w:r>
        <w:rPr>
          <w:rFonts w:ascii="Times New Roman" w:hint="eastAsia"/>
          <w:szCs w:val="21"/>
        </w:rPr>
        <w:t>章至第</w:t>
      </w:r>
      <w:r>
        <w:rPr>
          <w:rFonts w:ascii="Times New Roman" w:hint="eastAsia"/>
          <w:szCs w:val="21"/>
        </w:rPr>
        <w:t>6</w:t>
      </w:r>
      <w:r>
        <w:rPr>
          <w:rFonts w:ascii="Times New Roman" w:hint="eastAsia"/>
          <w:szCs w:val="21"/>
        </w:rPr>
        <w:t>章为核心内容</w:t>
      </w:r>
      <w:r>
        <w:rPr>
          <w:rFonts w:ascii="Times New Roman"/>
          <w:szCs w:val="21"/>
        </w:rPr>
        <w:t>。</w:t>
      </w:r>
    </w:p>
    <w:p w14:paraId="3C86E223" w14:textId="77777777" w:rsidR="00A0273A" w:rsidRDefault="00000000">
      <w:pPr>
        <w:pStyle w:val="ae"/>
        <w:ind w:firstLineChars="202" w:firstLine="424"/>
        <w:rPr>
          <w:rFonts w:ascii="Times New Roman"/>
          <w:szCs w:val="21"/>
        </w:rPr>
      </w:pPr>
      <w:r>
        <w:rPr>
          <w:rFonts w:ascii="Times New Roman"/>
          <w:szCs w:val="21"/>
        </w:rPr>
        <w:t>第</w:t>
      </w:r>
      <w:r>
        <w:rPr>
          <w:rFonts w:ascii="Times New Roman"/>
          <w:szCs w:val="21"/>
        </w:rPr>
        <w:t>5</w:t>
      </w:r>
      <w:r>
        <w:rPr>
          <w:rFonts w:ascii="Times New Roman"/>
          <w:szCs w:val="21"/>
        </w:rPr>
        <w:t>章给出了</w:t>
      </w:r>
      <w:r>
        <w:rPr>
          <w:rFonts w:ascii="Times New Roman" w:hint="eastAsia"/>
          <w:szCs w:val="21"/>
        </w:rPr>
        <w:t>气体和固体材料</w:t>
      </w:r>
      <w:r>
        <w:rPr>
          <w:rFonts w:ascii="Times New Roman"/>
          <w:szCs w:val="21"/>
        </w:rPr>
        <w:t>的</w:t>
      </w:r>
      <w:r>
        <w:rPr>
          <w:rFonts w:ascii="Times New Roman" w:hint="eastAsia"/>
          <w:szCs w:val="21"/>
        </w:rPr>
        <w:t>试样要求，包括</w:t>
      </w:r>
      <w:proofErr w:type="gramStart"/>
      <w:r>
        <w:rPr>
          <w:rFonts w:ascii="Times New Roman" w:hint="eastAsia"/>
          <w:szCs w:val="21"/>
        </w:rPr>
        <w:t>全氟异</w:t>
      </w:r>
      <w:proofErr w:type="gramEnd"/>
      <w:r>
        <w:rPr>
          <w:rFonts w:ascii="Times New Roman" w:hint="eastAsia"/>
          <w:szCs w:val="21"/>
        </w:rPr>
        <w:t>丁腈混合气体、对照气体和金属材料、环氧树脂、橡胶材料的要求；</w:t>
      </w:r>
      <w:r>
        <w:rPr>
          <w:rFonts w:ascii="Times New Roman"/>
          <w:szCs w:val="21"/>
        </w:rPr>
        <w:t>第</w:t>
      </w:r>
      <w:r>
        <w:rPr>
          <w:rFonts w:ascii="Times New Roman"/>
          <w:szCs w:val="21"/>
        </w:rPr>
        <w:t>6</w:t>
      </w:r>
      <w:r>
        <w:rPr>
          <w:rFonts w:ascii="Times New Roman"/>
          <w:szCs w:val="21"/>
        </w:rPr>
        <w:t>章</w:t>
      </w:r>
      <w:r>
        <w:rPr>
          <w:rFonts w:ascii="Times New Roman" w:hint="eastAsia"/>
          <w:szCs w:val="21"/>
        </w:rPr>
        <w:t>规定了气固相容性试验的环境条件，并对气体与金属材料、环氧树脂、橡胶材料的相容性试验条件、试验装置和试验流程进行了详细规定</w:t>
      </w:r>
      <w:r>
        <w:rPr>
          <w:rFonts w:ascii="Times New Roman"/>
          <w:szCs w:val="21"/>
        </w:rPr>
        <w:t>。</w:t>
      </w:r>
    </w:p>
    <w:p w14:paraId="1D9E2FDC" w14:textId="77777777" w:rsidR="00A0273A" w:rsidRDefault="00000000">
      <w:pPr>
        <w:pStyle w:val="a0"/>
        <w:numPr>
          <w:ilvl w:val="0"/>
          <w:numId w:val="0"/>
        </w:numPr>
        <w:outlineLvl w:val="9"/>
      </w:pPr>
      <w:bookmarkStart w:id="6" w:name="_Toc81313271"/>
      <w:bookmarkStart w:id="7" w:name="_Toc71813284"/>
      <w:bookmarkStart w:id="8" w:name="_Toc81313192"/>
      <w:r>
        <w:rPr>
          <w:rFonts w:hint="eastAsia"/>
        </w:rPr>
        <w:t>（三）主要试验验证情况</w:t>
      </w:r>
      <w:bookmarkEnd w:id="6"/>
      <w:bookmarkEnd w:id="7"/>
      <w:bookmarkEnd w:id="8"/>
    </w:p>
    <w:p w14:paraId="589EC7EA" w14:textId="77777777" w:rsidR="00A0273A" w:rsidRDefault="00000000">
      <w:pPr>
        <w:widowControl/>
        <w:shd w:val="clear" w:color="auto" w:fill="FFFFFF"/>
        <w:ind w:firstLineChars="202" w:firstLine="424"/>
        <w:rPr>
          <w:kern w:val="0"/>
        </w:rPr>
      </w:pPr>
      <w:r>
        <w:rPr>
          <w:rFonts w:hint="eastAsia"/>
          <w:kern w:val="0"/>
        </w:rPr>
        <w:t>针对</w:t>
      </w:r>
      <w:r>
        <w:rPr>
          <w:kern w:val="0"/>
        </w:rPr>
        <w:t>本标准规定的</w:t>
      </w:r>
      <w:proofErr w:type="gramStart"/>
      <w:r>
        <w:rPr>
          <w:kern w:val="0"/>
        </w:rPr>
        <w:t>全氟异</w:t>
      </w:r>
      <w:proofErr w:type="gramEnd"/>
      <w:r>
        <w:rPr>
          <w:kern w:val="0"/>
        </w:rPr>
        <w:t>丁腈</w:t>
      </w:r>
      <w:r>
        <w:rPr>
          <w:rFonts w:hint="eastAsia"/>
          <w:kern w:val="0"/>
        </w:rPr>
        <w:t>混合气体与设备常用金属、环氧树脂、橡胶材料的试验条件和试验流程涉及的气固相容性评价指标等关键参数进行了试验验证，包括高校、科研机构和设备厂家等主要开展</w:t>
      </w:r>
      <w:proofErr w:type="gramStart"/>
      <w:r>
        <w:rPr>
          <w:kern w:val="0"/>
        </w:rPr>
        <w:lastRenderedPageBreak/>
        <w:t>全氟异</w:t>
      </w:r>
      <w:proofErr w:type="gramEnd"/>
      <w:r>
        <w:rPr>
          <w:kern w:val="0"/>
        </w:rPr>
        <w:t>丁腈</w:t>
      </w:r>
      <w:r>
        <w:rPr>
          <w:rFonts w:hint="eastAsia"/>
          <w:kern w:val="0"/>
        </w:rPr>
        <w:t>及装备研究的近</w:t>
      </w:r>
      <w:r>
        <w:rPr>
          <w:rFonts w:hint="eastAsia"/>
          <w:kern w:val="0"/>
        </w:rPr>
        <w:t>10</w:t>
      </w:r>
      <w:r>
        <w:rPr>
          <w:rFonts w:hint="eastAsia"/>
          <w:kern w:val="0"/>
        </w:rPr>
        <w:t>家单位，对各单位获得的试验情况及结果进行总结分析，表明标准提出的各项指标是合理的。</w:t>
      </w:r>
    </w:p>
    <w:p w14:paraId="5E68304D" w14:textId="77777777" w:rsidR="00A0273A" w:rsidRDefault="00000000">
      <w:pPr>
        <w:pStyle w:val="a0"/>
        <w:numPr>
          <w:ilvl w:val="0"/>
          <w:numId w:val="0"/>
        </w:numPr>
        <w:outlineLvl w:val="9"/>
      </w:pPr>
      <w:r>
        <w:rPr>
          <w:rFonts w:hint="eastAsia"/>
        </w:rPr>
        <w:t>（四）与相关标准的协调情况</w:t>
      </w:r>
    </w:p>
    <w:p w14:paraId="5E11E113" w14:textId="77777777" w:rsidR="00A0273A" w:rsidRDefault="00000000">
      <w:pPr>
        <w:pStyle w:val="ae"/>
        <w:ind w:firstLine="420"/>
        <w:rPr>
          <w:rFonts w:ascii="Times New Roman"/>
          <w:szCs w:val="21"/>
        </w:rPr>
      </w:pPr>
      <w:r>
        <w:rPr>
          <w:rFonts w:ascii="Times New Roman"/>
          <w:szCs w:val="21"/>
        </w:rPr>
        <w:t>本标准与相关技术领域的国家现行法律、法规和政策保持一致。</w:t>
      </w:r>
    </w:p>
    <w:p w14:paraId="6EF46D57" w14:textId="77777777" w:rsidR="00A0273A" w:rsidRDefault="00000000">
      <w:pPr>
        <w:ind w:firstLineChars="200" w:firstLine="420"/>
      </w:pPr>
      <w:r>
        <w:t>本标准核心技术暂无相关国标。</w:t>
      </w:r>
    </w:p>
    <w:p w14:paraId="3213A1D6" w14:textId="77777777" w:rsidR="00A0273A" w:rsidRDefault="00000000">
      <w:pPr>
        <w:pStyle w:val="a0"/>
        <w:numPr>
          <w:ilvl w:val="0"/>
          <w:numId w:val="0"/>
        </w:numPr>
        <w:outlineLvl w:val="9"/>
      </w:pPr>
      <w:bookmarkStart w:id="9" w:name="_Toc71813285"/>
      <w:bookmarkStart w:id="10" w:name="_Toc81313193"/>
      <w:bookmarkStart w:id="11" w:name="_Toc81313272"/>
      <w:r>
        <w:rPr>
          <w:rFonts w:hint="eastAsia"/>
        </w:rPr>
        <w:t>（五）与国际标准和国外先进标准的对比情况</w:t>
      </w:r>
      <w:bookmarkEnd w:id="9"/>
      <w:bookmarkEnd w:id="10"/>
      <w:bookmarkEnd w:id="11"/>
    </w:p>
    <w:p w14:paraId="363452B4" w14:textId="77777777" w:rsidR="00A0273A" w:rsidRDefault="00000000">
      <w:pPr>
        <w:widowControl/>
        <w:shd w:val="clear" w:color="auto" w:fill="FFFFFF"/>
        <w:tabs>
          <w:tab w:val="left" w:pos="4284"/>
        </w:tabs>
        <w:spacing w:line="252" w:lineRule="atLeast"/>
        <w:ind w:firstLineChars="200" w:firstLine="420"/>
        <w:jc w:val="left"/>
        <w:rPr>
          <w:rFonts w:ascii="微软雅黑" w:eastAsia="微软雅黑" w:hAnsi="微软雅黑" w:cs="宋体" w:hint="eastAsia"/>
          <w:color w:val="000000"/>
          <w:kern w:val="0"/>
          <w:sz w:val="17"/>
          <w:szCs w:val="17"/>
        </w:rPr>
      </w:pPr>
      <w:r>
        <w:rPr>
          <w:rFonts w:hint="eastAsia"/>
        </w:rPr>
        <w:t>本标准无相关技术的国际或国外标准（</w:t>
      </w:r>
      <w:r>
        <w:rPr>
          <w:rFonts w:hint="eastAsia"/>
        </w:rPr>
        <w:t>I</w:t>
      </w:r>
      <w:r>
        <w:t>EEE</w:t>
      </w:r>
      <w:r>
        <w:rPr>
          <w:rFonts w:hint="eastAsia"/>
        </w:rPr>
        <w:t>和</w:t>
      </w:r>
      <w:r>
        <w:rPr>
          <w:rFonts w:hint="eastAsia"/>
        </w:rPr>
        <w:t>I</w:t>
      </w:r>
      <w:r>
        <w:t>EC</w:t>
      </w:r>
      <w:r>
        <w:rPr>
          <w:rFonts w:hint="eastAsia"/>
        </w:rPr>
        <w:t>正在编制中）。</w:t>
      </w:r>
    </w:p>
    <w:p w14:paraId="10559391" w14:textId="77777777" w:rsidR="00A0273A" w:rsidRDefault="00000000">
      <w:pPr>
        <w:pStyle w:val="a0"/>
        <w:numPr>
          <w:ilvl w:val="0"/>
          <w:numId w:val="0"/>
        </w:numPr>
        <w:outlineLvl w:val="9"/>
      </w:pPr>
      <w:bookmarkStart w:id="12" w:name="_Toc71813286"/>
      <w:bookmarkStart w:id="13" w:name="_Toc81313194"/>
      <w:bookmarkStart w:id="14" w:name="_Toc81313273"/>
      <w:r>
        <w:rPr>
          <w:rFonts w:hint="eastAsia"/>
        </w:rPr>
        <w:t>（六）标准名称与计划项目名称发生变化的主要原因</w:t>
      </w:r>
      <w:bookmarkEnd w:id="12"/>
      <w:bookmarkEnd w:id="13"/>
      <w:bookmarkEnd w:id="14"/>
    </w:p>
    <w:p w14:paraId="3E0AE2CA" w14:textId="77777777" w:rsidR="00A0273A" w:rsidRDefault="00000000">
      <w:pPr>
        <w:widowControl/>
        <w:shd w:val="clear" w:color="auto" w:fill="FFFFFF"/>
        <w:spacing w:line="252" w:lineRule="atLeast"/>
        <w:ind w:firstLineChars="202" w:firstLine="424"/>
      </w:pPr>
      <w:r>
        <w:rPr>
          <w:rFonts w:hint="eastAsia"/>
        </w:rPr>
        <w:t>无。</w:t>
      </w:r>
    </w:p>
    <w:p w14:paraId="42AB334D" w14:textId="77777777" w:rsidR="00A0273A" w:rsidRDefault="00000000">
      <w:pPr>
        <w:pStyle w:val="a0"/>
        <w:numPr>
          <w:ilvl w:val="0"/>
          <w:numId w:val="0"/>
        </w:numPr>
        <w:outlineLvl w:val="9"/>
      </w:pPr>
      <w:bookmarkStart w:id="15" w:name="_Toc71813287"/>
      <w:bookmarkStart w:id="16" w:name="_Toc81313195"/>
      <w:bookmarkStart w:id="17" w:name="_Toc81313274"/>
      <w:r>
        <w:rPr>
          <w:rFonts w:hint="eastAsia"/>
        </w:rPr>
        <w:t>（七）重要内容的解释和其它应予说明的事项</w:t>
      </w:r>
      <w:bookmarkEnd w:id="15"/>
      <w:bookmarkEnd w:id="16"/>
      <w:bookmarkEnd w:id="17"/>
    </w:p>
    <w:p w14:paraId="3CDBFB99" w14:textId="77777777" w:rsidR="00A0273A" w:rsidRDefault="00000000">
      <w:pPr>
        <w:widowControl/>
        <w:ind w:firstLineChars="200" w:firstLine="420"/>
      </w:pPr>
      <w:r>
        <w:rPr>
          <w:szCs w:val="21"/>
        </w:rPr>
        <w:t>（</w:t>
      </w:r>
      <w:r>
        <w:rPr>
          <w:szCs w:val="21"/>
        </w:rPr>
        <w:t>1</w:t>
      </w:r>
      <w:r>
        <w:rPr>
          <w:szCs w:val="21"/>
        </w:rPr>
        <w:t>）第</w:t>
      </w:r>
      <w:r>
        <w:rPr>
          <w:szCs w:val="21"/>
        </w:rPr>
        <w:t>5</w:t>
      </w:r>
      <w:r>
        <w:rPr>
          <w:szCs w:val="21"/>
        </w:rPr>
        <w:t>章</w:t>
      </w:r>
      <w:r>
        <w:rPr>
          <w:rFonts w:hint="eastAsia"/>
          <w:szCs w:val="21"/>
        </w:rPr>
        <w:t>试样</w:t>
      </w:r>
      <w:r>
        <w:rPr>
          <w:szCs w:val="21"/>
        </w:rPr>
        <w:t>要求中，</w:t>
      </w:r>
      <w:r>
        <w:t>考虑到</w:t>
      </w:r>
      <w:r>
        <w:rPr>
          <w:rFonts w:hint="eastAsia"/>
        </w:rPr>
        <w:t>不同设备用固体材料种类多、差异大，本标准仅对常用的金属、环氧树脂、橡胶等主要材料的试样制作均给出了推荐值，提供指导性建议。</w:t>
      </w:r>
    </w:p>
    <w:p w14:paraId="5E4FE244" w14:textId="77777777" w:rsidR="00A0273A" w:rsidRDefault="00000000">
      <w:pPr>
        <w:widowControl/>
        <w:ind w:firstLineChars="200" w:firstLine="420"/>
        <w:rPr>
          <w:szCs w:val="21"/>
        </w:rPr>
      </w:pPr>
      <w:r>
        <w:rPr>
          <w:szCs w:val="21"/>
        </w:rPr>
        <w:t>（</w:t>
      </w:r>
      <w:r>
        <w:rPr>
          <w:szCs w:val="21"/>
        </w:rPr>
        <w:t>2</w:t>
      </w:r>
      <w:r>
        <w:rPr>
          <w:szCs w:val="21"/>
        </w:rPr>
        <w:t>）</w:t>
      </w:r>
      <w:r>
        <w:rPr>
          <w:rFonts w:hint="eastAsia"/>
          <w:szCs w:val="21"/>
        </w:rPr>
        <w:t>由于现阶段完全缺乏同类型的标准可参考，</w:t>
      </w:r>
      <w:proofErr w:type="gramStart"/>
      <w:r>
        <w:rPr>
          <w:rFonts w:hint="eastAsia"/>
          <w:szCs w:val="21"/>
        </w:rPr>
        <w:t>第</w:t>
      </w:r>
      <w:r>
        <w:rPr>
          <w:rFonts w:hint="eastAsia"/>
          <w:szCs w:val="21"/>
        </w:rPr>
        <w:t>6</w:t>
      </w:r>
      <w:r>
        <w:rPr>
          <w:rFonts w:hint="eastAsia"/>
          <w:szCs w:val="21"/>
        </w:rPr>
        <w:t>章气固</w:t>
      </w:r>
      <w:proofErr w:type="gramEnd"/>
      <w:r>
        <w:rPr>
          <w:rFonts w:hint="eastAsia"/>
          <w:szCs w:val="21"/>
        </w:rPr>
        <w:t>相容性试验涉及的试验条件、试验装置和试验流程规定较宽泛，并在附录中给出了具体的试验过程供参考。</w:t>
      </w:r>
    </w:p>
    <w:p w14:paraId="39A821B2" w14:textId="77777777" w:rsidR="00A0273A" w:rsidRDefault="00000000">
      <w:pPr>
        <w:widowControl/>
        <w:ind w:firstLineChars="200" w:firstLine="420"/>
        <w:rPr>
          <w:szCs w:val="21"/>
        </w:rPr>
      </w:pPr>
      <w:r>
        <w:rPr>
          <w:szCs w:val="21"/>
        </w:rPr>
        <w:t>（</w:t>
      </w:r>
      <w:r>
        <w:rPr>
          <w:szCs w:val="21"/>
        </w:rPr>
        <w:t>3</w:t>
      </w:r>
      <w:r>
        <w:rPr>
          <w:szCs w:val="21"/>
        </w:rPr>
        <w:t>）</w:t>
      </w:r>
      <w:proofErr w:type="gramStart"/>
      <w:r>
        <w:rPr>
          <w:szCs w:val="21"/>
        </w:rPr>
        <w:t>全氟异</w:t>
      </w:r>
      <w:proofErr w:type="gramEnd"/>
      <w:r>
        <w:rPr>
          <w:szCs w:val="21"/>
        </w:rPr>
        <w:t>丁腈气在电气设备中的应用尚处于起步阶段，本标准规定的技术指标和检测方法主要用于指导现阶段相关技术和产品的研发，随着技术水平的发展和</w:t>
      </w:r>
      <w:proofErr w:type="gramStart"/>
      <w:r>
        <w:rPr>
          <w:szCs w:val="21"/>
        </w:rPr>
        <w:t>全氟异</w:t>
      </w:r>
      <w:proofErr w:type="gramEnd"/>
      <w:r>
        <w:rPr>
          <w:szCs w:val="21"/>
        </w:rPr>
        <w:t>丁腈环保气体电气设备应用规模的增加，应及时对相应指标值和试验方法进行修正完善。</w:t>
      </w:r>
    </w:p>
    <w:p w14:paraId="02217F16" w14:textId="77777777" w:rsidR="00A0273A" w:rsidRDefault="00A0273A">
      <w:pPr>
        <w:widowControl/>
        <w:ind w:firstLineChars="200" w:firstLine="420"/>
      </w:pPr>
    </w:p>
    <w:sectPr w:rsidR="00A0273A">
      <w:headerReference w:type="even" r:id="rId10"/>
      <w:headerReference w:type="default" r:id="rId11"/>
      <w:footerReference w:type="even" r:id="rId12"/>
      <w:footerReference w:type="default" r:id="rId13"/>
      <w:pgSz w:w="11907" w:h="16839"/>
      <w:pgMar w:top="1417" w:right="1134" w:bottom="1134" w:left="1417"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BA20" w14:textId="77777777" w:rsidR="00BE0060" w:rsidRDefault="00BE0060">
      <w:r>
        <w:separator/>
      </w:r>
    </w:p>
  </w:endnote>
  <w:endnote w:type="continuationSeparator" w:id="0">
    <w:p w14:paraId="1DABA7F2" w14:textId="77777777" w:rsidR="00BE0060" w:rsidRDefault="00BE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C185" w14:textId="77777777" w:rsidR="00A0273A" w:rsidRDefault="00000000">
    <w:pPr>
      <w:pStyle w:val="a9"/>
    </w:pPr>
    <w:r>
      <w:rPr>
        <w:noProof/>
      </w:rPr>
      <mc:AlternateContent>
        <mc:Choice Requires="wps">
          <w:drawing>
            <wp:anchor distT="0" distB="0" distL="114300" distR="114300" simplePos="0" relativeHeight="251660288" behindDoc="0" locked="0" layoutInCell="1" allowOverlap="1" wp14:anchorId="1A46EC0D" wp14:editId="2DDA7F32">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77703" w14:textId="77777777" w:rsidR="00A0273A" w:rsidRDefault="00000000">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46EC0D"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E77703" w14:textId="77777777" w:rsidR="00A0273A" w:rsidRDefault="00000000">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C601" w14:textId="77777777" w:rsidR="00A0273A" w:rsidRDefault="00000000">
    <w:pPr>
      <w:pStyle w:val="a9"/>
    </w:pPr>
    <w:r>
      <w:rPr>
        <w:noProof/>
      </w:rPr>
      <mc:AlternateContent>
        <mc:Choice Requires="wps">
          <w:drawing>
            <wp:anchor distT="0" distB="0" distL="114300" distR="114300" simplePos="0" relativeHeight="251659264" behindDoc="0" locked="0" layoutInCell="1" allowOverlap="1" wp14:anchorId="324E7E27" wp14:editId="084A619B">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F3D12" w14:textId="77777777" w:rsidR="00A0273A" w:rsidRDefault="00000000">
                          <w:pPr>
                            <w:pStyle w:val="a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4E7E27"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88F3D12" w14:textId="77777777" w:rsidR="00A0273A" w:rsidRDefault="00000000">
                    <w:pPr>
                      <w:pStyle w:val="a9"/>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0304" w14:textId="77777777" w:rsidR="00BE0060" w:rsidRDefault="00BE0060">
      <w:r>
        <w:separator/>
      </w:r>
    </w:p>
  </w:footnote>
  <w:footnote w:type="continuationSeparator" w:id="0">
    <w:p w14:paraId="4DCA0C6E" w14:textId="77777777" w:rsidR="00BE0060" w:rsidRDefault="00BE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769A6" w14:textId="77777777" w:rsidR="00A0273A" w:rsidRDefault="00000000">
    <w:pPr>
      <w:pStyle w:val="af0"/>
      <w:wordWrap w:val="0"/>
    </w:pPr>
    <w:r>
      <w:t>T/</w:t>
    </w:r>
    <w:r>
      <w:rPr>
        <w:rFonts w:hint="eastAsia"/>
      </w:rPr>
      <w:t>CSEE ####</w:t>
    </w:r>
    <w:r>
      <w:rPr>
        <w:rFonts w:hint="eastAsia"/>
      </w:rPr>
      <w:t>—</w:t>
    </w:r>
    <w:r>
      <w:rPr>
        <w:rFonts w:hint="eastAsia"/>
      </w:rPr>
      <w:t>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EC03" w14:textId="77777777" w:rsidR="00A0273A" w:rsidRDefault="00000000">
    <w:pPr>
      <w:pStyle w:val="af0"/>
      <w:wordWrap w:val="0"/>
    </w:pPr>
    <w:r>
      <w:t>T/</w:t>
    </w:r>
    <w:r>
      <w:rPr>
        <w:rFonts w:hint="eastAsia"/>
      </w:rPr>
      <w:t>CSEE ####</w:t>
    </w:r>
    <w:r>
      <w:rPr>
        <w:rFonts w:hint="eastAsia"/>
      </w:rPr>
      <w:t>—</w:t>
    </w:r>
    <w:r>
      <w:rPr>
        <w:rFonts w:hint="eastAsia"/>
      </w:rPr>
      <w:t>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ACAB" w14:textId="77777777" w:rsidR="00A0273A" w:rsidRDefault="00000000">
    <w:pPr>
      <w:pStyle w:val="af0"/>
      <w:jc w:val="left"/>
    </w:pPr>
    <w:r>
      <w:t>T/</w:t>
    </w:r>
    <w:r>
      <w:rPr>
        <w:rFonts w:hint="eastAsia"/>
      </w:rPr>
      <w:t>CSEE ####</w:t>
    </w:r>
    <w:r>
      <w:rPr>
        <w:rFonts w:hint="eastAsia"/>
      </w:rPr>
      <w:t>—</w:t>
    </w:r>
    <w:r>
      <w:rPr>
        <w:rFonts w:hint="eastAsia"/>
      </w:rPr>
      <w:t>202*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AADE" w14:textId="77777777" w:rsidR="00A0273A" w:rsidRDefault="00000000">
    <w:pPr>
      <w:pStyle w:val="af0"/>
    </w:pPr>
    <w:r>
      <w:t>T/</w:t>
    </w:r>
    <w:r>
      <w:rPr>
        <w:rFonts w:hint="eastAsia"/>
      </w:rPr>
      <w:t>CSEE ####</w:t>
    </w:r>
    <w:r>
      <w:rPr>
        <w:rFonts w:hint="eastAsia"/>
      </w:rPr>
      <w:t>—</w:t>
    </w:r>
    <w:r>
      <w:rPr>
        <w:rFonts w:hint="eastAsia"/>
      </w:rPr>
      <w:t>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277"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142"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793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4ZDRkNjM1YTIyNDUyMzg3MzQ3ZmI0OWUyOWUwZmUifQ=="/>
  </w:docVars>
  <w:rsids>
    <w:rsidRoot w:val="003F177F"/>
    <w:rsid w:val="00042DB3"/>
    <w:rsid w:val="00071D9F"/>
    <w:rsid w:val="0007295E"/>
    <w:rsid w:val="000D1A4C"/>
    <w:rsid w:val="00142CFB"/>
    <w:rsid w:val="00161A3A"/>
    <w:rsid w:val="001D0D25"/>
    <w:rsid w:val="001F0D74"/>
    <w:rsid w:val="00221B89"/>
    <w:rsid w:val="002A48CC"/>
    <w:rsid w:val="002F34D7"/>
    <w:rsid w:val="00305732"/>
    <w:rsid w:val="00311AA0"/>
    <w:rsid w:val="00316D5F"/>
    <w:rsid w:val="003D00EF"/>
    <w:rsid w:val="003F177F"/>
    <w:rsid w:val="0046322F"/>
    <w:rsid w:val="004A4861"/>
    <w:rsid w:val="004E3CCB"/>
    <w:rsid w:val="004E798C"/>
    <w:rsid w:val="0051048C"/>
    <w:rsid w:val="0053542A"/>
    <w:rsid w:val="005730F9"/>
    <w:rsid w:val="0059532D"/>
    <w:rsid w:val="005E4F66"/>
    <w:rsid w:val="0061102F"/>
    <w:rsid w:val="00646021"/>
    <w:rsid w:val="00652677"/>
    <w:rsid w:val="00701F45"/>
    <w:rsid w:val="00716D3C"/>
    <w:rsid w:val="00725540"/>
    <w:rsid w:val="00725B11"/>
    <w:rsid w:val="00775D93"/>
    <w:rsid w:val="0078771D"/>
    <w:rsid w:val="007B329B"/>
    <w:rsid w:val="007E7694"/>
    <w:rsid w:val="0085634B"/>
    <w:rsid w:val="00865DB7"/>
    <w:rsid w:val="008943C5"/>
    <w:rsid w:val="009102C8"/>
    <w:rsid w:val="009A3E3E"/>
    <w:rsid w:val="009E1253"/>
    <w:rsid w:val="00A0273A"/>
    <w:rsid w:val="00A81559"/>
    <w:rsid w:val="00AF4D33"/>
    <w:rsid w:val="00AF771E"/>
    <w:rsid w:val="00B23866"/>
    <w:rsid w:val="00B75797"/>
    <w:rsid w:val="00B93330"/>
    <w:rsid w:val="00B93425"/>
    <w:rsid w:val="00BC14C8"/>
    <w:rsid w:val="00BD35DF"/>
    <w:rsid w:val="00BE0060"/>
    <w:rsid w:val="00C357A8"/>
    <w:rsid w:val="00C3714D"/>
    <w:rsid w:val="00C740CB"/>
    <w:rsid w:val="00CB46D9"/>
    <w:rsid w:val="00CF5566"/>
    <w:rsid w:val="00D05DD2"/>
    <w:rsid w:val="00D17AF4"/>
    <w:rsid w:val="00D56E3A"/>
    <w:rsid w:val="00D6137D"/>
    <w:rsid w:val="00DA13AE"/>
    <w:rsid w:val="00DC6E4B"/>
    <w:rsid w:val="00DC7E89"/>
    <w:rsid w:val="00DD56A0"/>
    <w:rsid w:val="00E61AE9"/>
    <w:rsid w:val="00F050A6"/>
    <w:rsid w:val="00F4075D"/>
    <w:rsid w:val="00F72658"/>
    <w:rsid w:val="00FF38AC"/>
    <w:rsid w:val="0F492922"/>
    <w:rsid w:val="18F4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AB90"/>
  <w15:docId w15:val="{E12FA11B-E483-4726-AFC3-9CC4D76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imes New Roman" w:eastAsia="宋体" w:hAnsi="Times New Roman" w:cs="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pPr>
      <w:tabs>
        <w:tab w:val="center" w:pos="4153"/>
        <w:tab w:val="right" w:pos="8306"/>
      </w:tabs>
      <w:snapToGrid w:val="0"/>
      <w:jc w:val="left"/>
    </w:pPr>
    <w:rPr>
      <w:sz w:val="18"/>
      <w:szCs w:val="18"/>
    </w:rPr>
  </w:style>
  <w:style w:type="paragraph" w:styleId="ab">
    <w:name w:val="header"/>
    <w:basedOn w:val="a5"/>
    <w:link w:val="ac"/>
    <w:uiPriority w:val="99"/>
    <w:unhideWhenUsed/>
    <w:pPr>
      <w:pBdr>
        <w:bottom w:val="single" w:sz="6" w:space="1" w:color="auto"/>
      </w:pBdr>
      <w:tabs>
        <w:tab w:val="center" w:pos="4153"/>
        <w:tab w:val="right" w:pos="8306"/>
      </w:tabs>
      <w:snapToGrid w:val="0"/>
      <w:jc w:val="center"/>
    </w:pPr>
    <w:rPr>
      <w:sz w:val="18"/>
      <w:szCs w:val="18"/>
    </w:rPr>
  </w:style>
  <w:style w:type="table" w:styleId="ad">
    <w:name w:val="Table Grid"/>
    <w:basedOn w:val="a7"/>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段"/>
    <w:link w:val="Char"/>
    <w:qFormat/>
    <w:pPr>
      <w:ind w:firstLineChars="200" w:firstLine="200"/>
      <w:jc w:val="both"/>
    </w:pPr>
    <w:rPr>
      <w:rFonts w:ascii="宋体" w:eastAsia="宋体" w:hAnsi="Times New Roman" w:cs="Times New Roman"/>
      <w:sz w:val="21"/>
    </w:rPr>
  </w:style>
  <w:style w:type="paragraph" w:customStyle="1" w:styleId="a">
    <w:name w:val="章标题"/>
    <w:next w:val="ae"/>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0">
    <w:name w:val="一级条标题"/>
    <w:next w:val="ae"/>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1">
    <w:name w:val="二级条标题"/>
    <w:basedOn w:val="a0"/>
    <w:next w:val="ae"/>
    <w:qFormat/>
    <w:pPr>
      <w:numPr>
        <w:ilvl w:val="2"/>
      </w:numPr>
      <w:spacing w:before="50" w:after="50"/>
      <w:outlineLvl w:val="9"/>
    </w:pPr>
  </w:style>
  <w:style w:type="paragraph" w:customStyle="1" w:styleId="a2">
    <w:name w:val="三级条标题"/>
    <w:basedOn w:val="a1"/>
    <w:next w:val="ae"/>
    <w:qFormat/>
    <w:pPr>
      <w:numPr>
        <w:ilvl w:val="3"/>
      </w:numPr>
    </w:pPr>
  </w:style>
  <w:style w:type="paragraph" w:customStyle="1" w:styleId="a3">
    <w:name w:val="四级条标题"/>
    <w:basedOn w:val="a2"/>
    <w:next w:val="ae"/>
    <w:qFormat/>
    <w:pPr>
      <w:numPr>
        <w:ilvl w:val="4"/>
      </w:numPr>
    </w:pPr>
  </w:style>
  <w:style w:type="paragraph" w:customStyle="1" w:styleId="a4">
    <w:name w:val="五级条标题"/>
    <w:basedOn w:val="a3"/>
    <w:next w:val="ae"/>
    <w:pPr>
      <w:numPr>
        <w:ilvl w:val="5"/>
      </w:numPr>
    </w:pPr>
  </w:style>
  <w:style w:type="character" w:customStyle="1" w:styleId="Char">
    <w:name w:val="段 Char"/>
    <w:link w:val="ae"/>
    <w:qFormat/>
    <w:rPr>
      <w:rFonts w:ascii="宋体" w:eastAsia="宋体" w:hAnsi="Times New Roman" w:cs="Times New Roman"/>
      <w:kern w:val="0"/>
      <w:szCs w:val="20"/>
    </w:rPr>
  </w:style>
  <w:style w:type="character" w:customStyle="1" w:styleId="ac">
    <w:name w:val="页眉 字符"/>
    <w:basedOn w:val="a6"/>
    <w:link w:val="ab"/>
    <w:uiPriority w:val="99"/>
    <w:rPr>
      <w:rFonts w:ascii="Times New Roman" w:eastAsia="宋体" w:hAnsi="Times New Roman" w:cs="Times New Roman"/>
      <w:sz w:val="18"/>
      <w:szCs w:val="18"/>
    </w:rPr>
  </w:style>
  <w:style w:type="character" w:customStyle="1" w:styleId="aa">
    <w:name w:val="页脚 字符"/>
    <w:basedOn w:val="a6"/>
    <w:link w:val="a9"/>
    <w:uiPriority w:val="99"/>
    <w:rPr>
      <w:rFonts w:ascii="Times New Roman" w:eastAsia="宋体" w:hAnsi="Times New Roman" w:cs="Times New Roman"/>
      <w:sz w:val="18"/>
      <w:szCs w:val="18"/>
    </w:rPr>
  </w:style>
  <w:style w:type="paragraph" w:customStyle="1" w:styleId="af">
    <w:name w:val="封面标准名称"/>
    <w:pPr>
      <w:widowControl w:val="0"/>
      <w:spacing w:line="680" w:lineRule="exact"/>
      <w:jc w:val="center"/>
      <w:textAlignment w:val="center"/>
    </w:pPr>
    <w:rPr>
      <w:rFonts w:ascii="黑体" w:eastAsia="黑体" w:hAnsi="Times New Roman" w:cs="Times New Roman"/>
      <w:sz w:val="52"/>
    </w:rPr>
  </w:style>
  <w:style w:type="paragraph" w:customStyle="1" w:styleId="af0">
    <w:name w:val="标准书眉_奇数页"/>
    <w:next w:val="a5"/>
    <w:qFormat/>
    <w:pPr>
      <w:tabs>
        <w:tab w:val="center" w:pos="4154"/>
        <w:tab w:val="right" w:pos="8306"/>
      </w:tabs>
      <w:spacing w:after="120"/>
      <w:jc w:val="right"/>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颜湘莲</dc:creator>
  <cp:lastModifiedBy>HY</cp:lastModifiedBy>
  <cp:revision>10</cp:revision>
  <dcterms:created xsi:type="dcterms:W3CDTF">2022-01-13T10:10:00Z</dcterms:created>
  <dcterms:modified xsi:type="dcterms:W3CDTF">2024-08-13T14:55:00Z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09423B49CB38419DA3BE05AB4A3AD126_12</vt:lpwstr>
  </property>
</Properties>
</file>