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Jvbm1wAAAAkBAAAPAAAAAAAAAAEAIAAAACIAAABkcnMvZG93bnJldi54bWxQSwECFAAU&#10;AAAACACHTuJA+4b0pPIBAADkAwAADgAAAAAAAAABACAAAAAmAQAAZHJzL2Uyb0RvYy54bWxQSwUG&#10;AAAAAAYABgBZAQAAigUAAAAA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bookmarkEnd w:id="0"/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额定电压35kV及以下交联聚乙烯绝缘电力电缆模塑熔接接头技术规范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  <w:sz w:val="24"/>
        </w:rPr>
        <w:t>Technical requirements on mould melt joints of cross-linked polyethylene insulated power cables with rated voltages up to 35kV (Um = 40.5kV)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广东电网有限责任公司电力科学研究院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  <w:sectPr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99A343F"/>
    <w:rsid w:val="299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2024-07-16T08:39:00Z</dcterms:created>
  <dc:creator>yc melody</dc:creator>
  <cp:lastModifiedBy>yc melody</cp:lastModifiedBy>
  <dcterms:modified xsi:type="dcterms:W3CDTF">2024-07-16T08:40:25Z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4511DC091B51432EB5C9784A2ECCB04A_11</vt:lpwstr>
  </property>
</Properties>
</file>