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8D08D" w:themeColor="accent6" w:themeTint="99"/>
  <w:body>
    <w:p w:rsidR="004A3EE5" w:rsidRDefault="004A3EE5" w:rsidP="004A3EE5">
      <w:pPr>
        <w:pStyle w:val="a7"/>
        <w:ind w:firstLineChars="0" w:firstLine="0"/>
        <w:rPr>
          <w:rFonts w:ascii="Times New Roman"/>
        </w:rPr>
      </w:pPr>
    </w:p>
    <w:p w:rsidR="004A3EE5" w:rsidRDefault="004A3EE5" w:rsidP="004A3EE5">
      <w:pPr>
        <w:pStyle w:val="a7"/>
        <w:ind w:firstLineChars="0" w:firstLine="0"/>
        <w:rPr>
          <w:rFonts w:ascii="Times New Roman"/>
        </w:rPr>
      </w:pPr>
    </w:p>
    <w:p w:rsidR="004A3EE5" w:rsidRDefault="004A3EE5" w:rsidP="004A3EE5">
      <w:pPr>
        <w:pStyle w:val="a7"/>
        <w:ind w:firstLineChars="0" w:firstLine="0"/>
        <w:rPr>
          <w:rFonts w:ascii="Times New Roman"/>
        </w:rPr>
      </w:pPr>
    </w:p>
    <w:p w:rsidR="004A3EE5" w:rsidRDefault="004A3EE5" w:rsidP="004A3EE5">
      <w:pPr>
        <w:pStyle w:val="a7"/>
        <w:tabs>
          <w:tab w:val="clear" w:pos="4201"/>
          <w:tab w:val="clear" w:pos="9298"/>
          <w:tab w:val="left" w:pos="1215"/>
        </w:tabs>
        <w:ind w:firstLineChars="0" w:firstLine="0"/>
        <w:rPr>
          <w:rFonts w:ascii="Times New Roman"/>
        </w:rPr>
      </w:pPr>
      <w:r>
        <w:rPr>
          <w:rFonts w:ascii="Times New Roman"/>
        </w:rPr>
        <w:tab/>
      </w:r>
    </w:p>
    <w:p w:rsidR="004A3EE5" w:rsidRDefault="004A3EE5" w:rsidP="004A3EE5">
      <w:pPr>
        <w:pStyle w:val="a7"/>
        <w:ind w:firstLineChars="0" w:firstLine="0"/>
        <w:rPr>
          <w:rFonts w:ascii="Times New Roman"/>
        </w:rPr>
      </w:pPr>
    </w:p>
    <w:p w:rsidR="004A3EE5" w:rsidRDefault="004A3EE5" w:rsidP="004A3EE5">
      <w:pPr>
        <w:pStyle w:val="a7"/>
        <w:ind w:firstLineChars="0" w:firstLine="0"/>
        <w:rPr>
          <w:rFonts w:ascii="Times New Roman"/>
        </w:rPr>
      </w:pPr>
    </w:p>
    <w:p w:rsidR="004A3EE5" w:rsidRDefault="004A3EE5" w:rsidP="004A3EE5">
      <w:pPr>
        <w:pStyle w:val="a7"/>
        <w:ind w:firstLineChars="0" w:firstLine="0"/>
        <w:jc w:val="center"/>
        <w:rPr>
          <w:rFonts w:ascii="Times New Roman" w:eastAsia="黑体"/>
          <w:sz w:val="44"/>
          <w:szCs w:val="44"/>
        </w:rPr>
      </w:pPr>
      <w:r>
        <w:rPr>
          <w:rFonts w:ascii="Times New Roman" w:eastAsia="黑体"/>
          <w:sz w:val="44"/>
          <w:szCs w:val="44"/>
        </w:rPr>
        <w:t>失效矿物绝缘油处置技术条件</w:t>
      </w:r>
    </w:p>
    <w:p w:rsidR="004A3EE5" w:rsidRDefault="004A3EE5" w:rsidP="004A3EE5">
      <w:pPr>
        <w:pStyle w:val="a7"/>
        <w:rPr>
          <w:rFonts w:ascii="Times New Roman"/>
        </w:rPr>
      </w:pPr>
    </w:p>
    <w:p w:rsidR="004A3EE5" w:rsidRDefault="004A3EE5" w:rsidP="004A3EE5">
      <w:pPr>
        <w:pStyle w:val="a7"/>
        <w:rPr>
          <w:rFonts w:ascii="Times New Roman"/>
        </w:rPr>
      </w:pPr>
    </w:p>
    <w:p w:rsidR="004A3EE5" w:rsidRDefault="004A3EE5" w:rsidP="004A3EE5">
      <w:pPr>
        <w:pStyle w:val="aa"/>
        <w:spacing w:before="312" w:after="312"/>
        <w:ind w:left="0"/>
        <w:jc w:val="center"/>
        <w:rPr>
          <w:rFonts w:ascii="Times New Roman"/>
          <w:sz w:val="28"/>
          <w:szCs w:val="28"/>
        </w:rPr>
      </w:pPr>
      <w:bookmarkStart w:id="0" w:name="_Toc298937333"/>
      <w:bookmarkStart w:id="1" w:name="_Toc298937368"/>
      <w:bookmarkStart w:id="2" w:name="_Toc298937473"/>
      <w:bookmarkStart w:id="3" w:name="_Toc304825093"/>
      <w:bookmarkStart w:id="4" w:name="_Toc309997060"/>
      <w:bookmarkStart w:id="5" w:name="_Toc309995410"/>
      <w:bookmarkStart w:id="6" w:name="_Toc309996019"/>
      <w:bookmarkStart w:id="7" w:name="_Toc309995598"/>
      <w:bookmarkStart w:id="8" w:name="_Toc298938794"/>
      <w:bookmarkStart w:id="9" w:name="_Toc310002657"/>
      <w:bookmarkStart w:id="10" w:name="_Toc304825020"/>
      <w:bookmarkStart w:id="11" w:name="_Toc304824981"/>
      <w:bookmarkStart w:id="12" w:name="_Toc309995492"/>
      <w:bookmarkStart w:id="13" w:name="_Toc304402675"/>
      <w:bookmarkStart w:id="14" w:name="_Toc16946"/>
      <w:bookmarkStart w:id="15" w:name="_Toc320020914"/>
      <w:bookmarkStart w:id="16" w:name="_Toc298938646"/>
      <w:bookmarkStart w:id="17" w:name="_Toc309993200"/>
      <w:bookmarkStart w:id="18" w:name="_Toc298937560"/>
      <w:bookmarkStart w:id="19" w:name="_Toc298937430"/>
      <w:bookmarkStart w:id="20" w:name="_Toc309994571"/>
      <w:bookmarkStart w:id="21" w:name="_Toc304828086"/>
      <w:bookmarkStart w:id="22" w:name="_Toc318613715"/>
      <w:bookmarkStart w:id="23" w:name="_Toc298937620"/>
      <w:r>
        <w:rPr>
          <w:rFonts w:ascii="Times New Roman"/>
          <w:sz w:val="28"/>
          <w:szCs w:val="28"/>
        </w:rPr>
        <w:t>编</w:t>
      </w:r>
      <w:r>
        <w:rPr>
          <w:rFonts w:ascii="Times New Roman"/>
          <w:sz w:val="28"/>
          <w:szCs w:val="28"/>
        </w:rPr>
        <w:t> </w:t>
      </w:r>
      <w:r>
        <w:rPr>
          <w:rFonts w:ascii="Times New Roman"/>
          <w:sz w:val="28"/>
          <w:szCs w:val="28"/>
        </w:rPr>
        <w:t>制</w:t>
      </w:r>
      <w:r>
        <w:rPr>
          <w:rFonts w:ascii="Times New Roman"/>
          <w:sz w:val="28"/>
          <w:szCs w:val="28"/>
        </w:rPr>
        <w:t> </w:t>
      </w:r>
      <w:r>
        <w:rPr>
          <w:rFonts w:ascii="Times New Roman"/>
          <w:sz w:val="28"/>
          <w:szCs w:val="28"/>
        </w:rPr>
        <w:t>说</w:t>
      </w:r>
      <w:bookmarkEnd w:id="0"/>
      <w:bookmarkEnd w:id="1"/>
      <w:r>
        <w:rPr>
          <w:rFonts w:ascii="Times New Roman"/>
          <w:sz w:val="28"/>
          <w:szCs w:val="28"/>
        </w:rPr>
        <w:t> </w:t>
      </w:r>
      <w:r>
        <w:rPr>
          <w:rFonts w:ascii="Times New Roman"/>
          <w:sz w:val="28"/>
          <w:szCs w:val="28"/>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A3EE5" w:rsidRDefault="004A3EE5" w:rsidP="004A3EE5">
      <w:pPr>
        <w:pStyle w:val="a7"/>
        <w:ind w:firstLine="560"/>
        <w:jc w:val="center"/>
        <w:rPr>
          <w:rFonts w:ascii="Times New Roman" w:eastAsia="黑体"/>
          <w:sz w:val="28"/>
          <w:szCs w:val="28"/>
        </w:rPr>
      </w:pPr>
    </w:p>
    <w:p w:rsidR="004A3EE5" w:rsidRDefault="004A3EE5" w:rsidP="004A3EE5">
      <w:pPr>
        <w:pStyle w:val="a7"/>
        <w:ind w:firstLine="560"/>
        <w:jc w:val="center"/>
        <w:rPr>
          <w:rFonts w:ascii="Times New Roman" w:eastAsia="黑体"/>
          <w:sz w:val="28"/>
          <w:szCs w:val="28"/>
        </w:rPr>
      </w:pPr>
    </w:p>
    <w:p w:rsidR="004A3EE5" w:rsidRDefault="004A3EE5" w:rsidP="004A3EE5">
      <w:pPr>
        <w:pStyle w:val="a7"/>
        <w:rPr>
          <w:rFonts w:ascii="Times New Roman"/>
        </w:rPr>
        <w:sectPr w:rsidR="004A3EE5">
          <w:headerReference w:type="even" r:id="rId6"/>
          <w:headerReference w:type="default" r:id="rId7"/>
          <w:footerReference w:type="default" r:id="rId8"/>
          <w:pgSz w:w="11906" w:h="16838"/>
          <w:pgMar w:top="567" w:right="1134" w:bottom="1134" w:left="1417" w:header="1418" w:footer="1134" w:gutter="0"/>
          <w:cols w:space="720"/>
          <w:formProt w:val="0"/>
          <w:docGrid w:type="lines" w:linePitch="312"/>
        </w:sectPr>
      </w:pPr>
    </w:p>
    <w:p w:rsidR="004A3EE5" w:rsidRDefault="004A3EE5" w:rsidP="004A3EE5">
      <w:pPr>
        <w:pStyle w:val="11"/>
        <w:spacing w:before="78" w:after="78"/>
        <w:jc w:val="center"/>
        <w:rPr>
          <w:rFonts w:ascii="Times New Roman" w:eastAsia="黑体"/>
          <w:sz w:val="32"/>
          <w:szCs w:val="32"/>
        </w:rPr>
      </w:pPr>
      <w:r>
        <w:rPr>
          <w:rFonts w:ascii="Times New Roman" w:eastAsia="黑体"/>
          <w:sz w:val="32"/>
          <w:szCs w:val="32"/>
        </w:rPr>
        <w:lastRenderedPageBreak/>
        <w:t>目</w:t>
      </w:r>
      <w:r>
        <w:rPr>
          <w:rFonts w:ascii="Times New Roman" w:eastAsia="黑体"/>
          <w:sz w:val="32"/>
          <w:szCs w:val="32"/>
        </w:rPr>
        <w:t xml:space="preserve">   </w:t>
      </w:r>
      <w:r>
        <w:rPr>
          <w:rFonts w:ascii="Times New Roman" w:eastAsia="黑体"/>
          <w:sz w:val="32"/>
          <w:szCs w:val="32"/>
        </w:rPr>
        <w:t>次</w:t>
      </w:r>
    </w:p>
    <w:p w:rsidR="004A3EE5" w:rsidRDefault="004A3EE5" w:rsidP="004A3EE5">
      <w:pPr>
        <w:pStyle w:val="11"/>
        <w:spacing w:before="78" w:after="78"/>
        <w:jc w:val="center"/>
        <w:rPr>
          <w:rFonts w:ascii="Times New Roman" w:eastAsia="黑体"/>
        </w:rPr>
      </w:pPr>
    </w:p>
    <w:p w:rsidR="004A3EE5" w:rsidRDefault="004A3EE5" w:rsidP="004A3EE5">
      <w:pPr>
        <w:pStyle w:val="11"/>
        <w:tabs>
          <w:tab w:val="clear" w:pos="9241"/>
          <w:tab w:val="right" w:leader="dot" w:pos="9355"/>
        </w:tabs>
        <w:spacing w:before="78" w:after="78"/>
        <w:rPr>
          <w:rFonts w:ascii="Times New Roman"/>
        </w:rPr>
      </w:pPr>
      <w:r>
        <w:rPr>
          <w:rFonts w:ascii="Times New Roman" w:eastAsia="黑体"/>
        </w:rPr>
        <w:fldChar w:fldCharType="begin"/>
      </w:r>
      <w:r>
        <w:rPr>
          <w:rFonts w:ascii="Times New Roman" w:eastAsia="黑体"/>
        </w:rPr>
        <w:instrText>TOC \o "1-1" \h \z \u</w:instrText>
      </w:r>
      <w:r>
        <w:rPr>
          <w:rFonts w:ascii="Times New Roman" w:eastAsia="黑体"/>
        </w:rPr>
        <w:fldChar w:fldCharType="separate"/>
      </w:r>
    </w:p>
    <w:p w:rsidR="004A3EE5" w:rsidRDefault="004A3EE5" w:rsidP="004A3EE5">
      <w:pPr>
        <w:pStyle w:val="11"/>
        <w:tabs>
          <w:tab w:val="clear" w:pos="9241"/>
          <w:tab w:val="right" w:leader="dot" w:pos="9355"/>
        </w:tabs>
        <w:spacing w:before="78" w:after="78"/>
        <w:rPr>
          <w:rFonts w:ascii="Times New Roman"/>
        </w:rPr>
      </w:pPr>
      <w:hyperlink w:anchor="_Toc25293" w:history="1">
        <w:r>
          <w:rPr>
            <w:rFonts w:ascii="Times New Roman"/>
          </w:rPr>
          <w:t xml:space="preserve">1 </w:t>
        </w:r>
        <w:r>
          <w:rPr>
            <w:rFonts w:ascii="Times New Roman"/>
          </w:rPr>
          <w:t>编制背景</w:t>
        </w:r>
        <w:r>
          <w:rPr>
            <w:rFonts w:ascii="Times New Roman"/>
          </w:rPr>
          <w:tab/>
        </w:r>
        <w:r>
          <w:rPr>
            <w:rFonts w:ascii="Times New Roman"/>
          </w:rPr>
          <w:fldChar w:fldCharType="begin"/>
        </w:r>
        <w:r>
          <w:rPr>
            <w:rFonts w:ascii="Times New Roman"/>
          </w:rPr>
          <w:instrText xml:space="preserve"> PAGEREF _Toc25293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rsidR="004A3EE5" w:rsidRDefault="004A3EE5" w:rsidP="004A3EE5">
      <w:pPr>
        <w:pStyle w:val="11"/>
        <w:tabs>
          <w:tab w:val="clear" w:pos="9241"/>
          <w:tab w:val="right" w:leader="dot" w:pos="9355"/>
        </w:tabs>
        <w:spacing w:before="78" w:after="78"/>
        <w:rPr>
          <w:rFonts w:ascii="Times New Roman"/>
        </w:rPr>
      </w:pPr>
      <w:hyperlink w:anchor="_Toc15889" w:history="1">
        <w:r>
          <w:rPr>
            <w:rFonts w:ascii="Times New Roman"/>
          </w:rPr>
          <w:t xml:space="preserve">2 </w:t>
        </w:r>
        <w:r>
          <w:rPr>
            <w:rFonts w:ascii="Times New Roman"/>
          </w:rPr>
          <w:t>编制主要原则</w:t>
        </w:r>
        <w:r>
          <w:rPr>
            <w:rFonts w:ascii="Times New Roman"/>
          </w:rPr>
          <w:tab/>
        </w:r>
        <w:r>
          <w:rPr>
            <w:rFonts w:ascii="Times New Roman"/>
          </w:rPr>
          <w:fldChar w:fldCharType="begin"/>
        </w:r>
        <w:r>
          <w:rPr>
            <w:rFonts w:ascii="Times New Roman"/>
          </w:rPr>
          <w:instrText xml:space="preserve"> PAGEREF _Toc15889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rsidR="004A3EE5" w:rsidRDefault="004A3EE5" w:rsidP="004A3EE5">
      <w:pPr>
        <w:pStyle w:val="11"/>
        <w:tabs>
          <w:tab w:val="clear" w:pos="9241"/>
          <w:tab w:val="right" w:leader="dot" w:pos="9355"/>
        </w:tabs>
        <w:spacing w:before="78" w:after="78"/>
        <w:rPr>
          <w:rFonts w:ascii="Times New Roman"/>
        </w:rPr>
      </w:pPr>
      <w:hyperlink w:anchor="_Toc21756" w:history="1">
        <w:r>
          <w:rPr>
            <w:rFonts w:ascii="Times New Roman"/>
          </w:rPr>
          <w:t xml:space="preserve">3 </w:t>
        </w:r>
        <w:r>
          <w:rPr>
            <w:rFonts w:ascii="Times New Roman"/>
          </w:rPr>
          <w:t>主要工作过程</w:t>
        </w:r>
        <w:r>
          <w:rPr>
            <w:rFonts w:ascii="Times New Roman"/>
          </w:rPr>
          <w:tab/>
        </w:r>
        <w:r>
          <w:rPr>
            <w:rFonts w:ascii="Times New Roman"/>
          </w:rPr>
          <w:fldChar w:fldCharType="begin"/>
        </w:r>
        <w:r>
          <w:rPr>
            <w:rFonts w:ascii="Times New Roman"/>
          </w:rPr>
          <w:instrText xml:space="preserve"> PAGEREF _Toc21756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rsidR="004A3EE5" w:rsidRDefault="004A3EE5" w:rsidP="004A3EE5">
      <w:pPr>
        <w:pStyle w:val="11"/>
        <w:tabs>
          <w:tab w:val="clear" w:pos="9241"/>
          <w:tab w:val="right" w:leader="dot" w:pos="9355"/>
        </w:tabs>
        <w:spacing w:before="78" w:after="78"/>
        <w:rPr>
          <w:rFonts w:ascii="Times New Roman"/>
        </w:rPr>
      </w:pPr>
      <w:hyperlink w:anchor="_Toc12809" w:history="1">
        <w:r>
          <w:rPr>
            <w:rFonts w:ascii="Times New Roman"/>
          </w:rPr>
          <w:t xml:space="preserve">4 </w:t>
        </w:r>
        <w:r>
          <w:rPr>
            <w:rFonts w:ascii="Times New Roman"/>
          </w:rPr>
          <w:t>标准结构和内容说明</w:t>
        </w:r>
        <w:r>
          <w:rPr>
            <w:rFonts w:ascii="Times New Roman"/>
          </w:rPr>
          <w:tab/>
        </w:r>
        <w:r>
          <w:rPr>
            <w:rFonts w:ascii="Times New Roman"/>
          </w:rPr>
          <w:fldChar w:fldCharType="begin"/>
        </w:r>
        <w:r>
          <w:rPr>
            <w:rFonts w:ascii="Times New Roman"/>
          </w:rPr>
          <w:instrText xml:space="preserve"> PAGEREF _Toc12809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rsidR="004A3EE5" w:rsidRDefault="004A3EE5" w:rsidP="004A3EE5">
      <w:pPr>
        <w:pStyle w:val="11"/>
        <w:tabs>
          <w:tab w:val="clear" w:pos="9241"/>
          <w:tab w:val="right" w:leader="dot" w:pos="9355"/>
        </w:tabs>
        <w:spacing w:before="78" w:after="78"/>
        <w:rPr>
          <w:rFonts w:ascii="Times New Roman"/>
        </w:rPr>
      </w:pPr>
      <w:hyperlink w:anchor="_Toc8617" w:history="1">
        <w:r>
          <w:rPr>
            <w:rFonts w:ascii="Times New Roman"/>
          </w:rPr>
          <w:t xml:space="preserve">5 </w:t>
        </w:r>
        <w:r>
          <w:rPr>
            <w:rFonts w:ascii="Times New Roman"/>
          </w:rPr>
          <w:t>标准水平说明</w:t>
        </w:r>
        <w:r>
          <w:rPr>
            <w:rFonts w:ascii="Times New Roman"/>
          </w:rPr>
          <w:tab/>
        </w:r>
        <w:r>
          <w:rPr>
            <w:rFonts w:ascii="Times New Roman"/>
          </w:rPr>
          <w:fldChar w:fldCharType="begin"/>
        </w:r>
        <w:r>
          <w:rPr>
            <w:rFonts w:ascii="Times New Roman"/>
          </w:rPr>
          <w:instrText xml:space="preserve"> PAGEREF _Toc8617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rsidR="004A3EE5" w:rsidRDefault="004A3EE5" w:rsidP="004A3EE5">
      <w:pPr>
        <w:pStyle w:val="11"/>
        <w:tabs>
          <w:tab w:val="clear" w:pos="9241"/>
          <w:tab w:val="right" w:leader="dot" w:pos="9355"/>
        </w:tabs>
        <w:spacing w:before="78" w:after="78"/>
        <w:rPr>
          <w:rFonts w:ascii="Times New Roman"/>
        </w:rPr>
      </w:pPr>
      <w:hyperlink w:anchor="_Toc14817" w:history="1">
        <w:r>
          <w:rPr>
            <w:rFonts w:ascii="Times New Roman"/>
          </w:rPr>
          <w:t xml:space="preserve">6 </w:t>
        </w:r>
        <w:r>
          <w:rPr>
            <w:rFonts w:ascii="Times New Roman"/>
          </w:rPr>
          <w:t>标准实施措施说明</w:t>
        </w:r>
        <w:r>
          <w:rPr>
            <w:rFonts w:ascii="Times New Roman"/>
          </w:rPr>
          <w:tab/>
        </w:r>
        <w:r>
          <w:rPr>
            <w:rFonts w:ascii="Times New Roman"/>
          </w:rPr>
          <w:fldChar w:fldCharType="begin"/>
        </w:r>
        <w:r>
          <w:rPr>
            <w:rFonts w:ascii="Times New Roman"/>
          </w:rPr>
          <w:instrText xml:space="preserve"> PAGEREF _Toc14817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rsidR="004A3EE5" w:rsidRDefault="004A3EE5" w:rsidP="004A3EE5">
      <w:pPr>
        <w:pStyle w:val="a7"/>
        <w:rPr>
          <w:rFonts w:ascii="Times New Roman"/>
          <w:szCs w:val="21"/>
        </w:rPr>
      </w:pPr>
      <w:r>
        <w:rPr>
          <w:rFonts w:ascii="Times New Roman" w:eastAsia="黑体"/>
          <w:szCs w:val="21"/>
        </w:rPr>
        <w:fldChar w:fldCharType="end"/>
      </w:r>
    </w:p>
    <w:p w:rsidR="004A3EE5" w:rsidRDefault="004A3EE5" w:rsidP="004A3EE5">
      <w:pPr>
        <w:pStyle w:val="a7"/>
        <w:rPr>
          <w:rFonts w:ascii="Times New Roman"/>
          <w:szCs w:val="21"/>
        </w:rPr>
      </w:pPr>
    </w:p>
    <w:p w:rsidR="004A3EE5" w:rsidRDefault="004A3EE5" w:rsidP="004A3EE5">
      <w:pPr>
        <w:pStyle w:val="a7"/>
        <w:rPr>
          <w:rFonts w:ascii="Times New Roman"/>
          <w:szCs w:val="21"/>
        </w:rPr>
      </w:pPr>
    </w:p>
    <w:p w:rsidR="004A3EE5" w:rsidRDefault="004A3EE5" w:rsidP="004A3EE5">
      <w:pPr>
        <w:pStyle w:val="a7"/>
        <w:tabs>
          <w:tab w:val="clear" w:pos="4201"/>
          <w:tab w:val="clear" w:pos="9298"/>
          <w:tab w:val="left" w:pos="6720"/>
        </w:tabs>
        <w:rPr>
          <w:rFonts w:ascii="Times New Roman"/>
          <w:szCs w:val="21"/>
        </w:rPr>
      </w:pPr>
      <w:r>
        <w:rPr>
          <w:rFonts w:ascii="Times New Roman"/>
          <w:szCs w:val="21"/>
        </w:rPr>
        <w:tab/>
      </w:r>
    </w:p>
    <w:p w:rsidR="004A3EE5" w:rsidRDefault="004A3EE5" w:rsidP="004A3EE5">
      <w:pPr>
        <w:pStyle w:val="a7"/>
        <w:tabs>
          <w:tab w:val="clear" w:pos="4201"/>
          <w:tab w:val="clear" w:pos="9298"/>
          <w:tab w:val="left" w:pos="6720"/>
        </w:tabs>
        <w:rPr>
          <w:rFonts w:ascii="Times New Roman"/>
          <w:szCs w:val="21"/>
        </w:rPr>
      </w:pPr>
      <w:r>
        <w:rPr>
          <w:rFonts w:ascii="Times New Roman"/>
          <w:szCs w:val="21"/>
        </w:rPr>
        <w:tab/>
      </w:r>
    </w:p>
    <w:p w:rsidR="004A3EE5" w:rsidRDefault="004A3EE5" w:rsidP="004A3EE5"/>
    <w:p w:rsidR="004A3EE5" w:rsidRDefault="004A3EE5" w:rsidP="004A3EE5">
      <w:pPr>
        <w:tabs>
          <w:tab w:val="left" w:pos="5190"/>
        </w:tabs>
      </w:pPr>
      <w:r>
        <w:tab/>
      </w:r>
    </w:p>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 w:rsidR="004A3EE5" w:rsidRDefault="004A3EE5" w:rsidP="004A3EE5">
      <w:pPr>
        <w:rPr>
          <w:kern w:val="0"/>
        </w:rPr>
      </w:pPr>
    </w:p>
    <w:p w:rsidR="004A3EE5" w:rsidRDefault="004A3EE5" w:rsidP="004A3EE5">
      <w:pPr>
        <w:jc w:val="center"/>
        <w:rPr>
          <w:kern w:val="0"/>
        </w:rPr>
      </w:pPr>
    </w:p>
    <w:p w:rsidR="004A3EE5" w:rsidRDefault="004A3EE5" w:rsidP="004A3EE5">
      <w:pPr>
        <w:tabs>
          <w:tab w:val="center" w:pos="4677"/>
        </w:tabs>
        <w:sectPr w:rsidR="004A3EE5">
          <w:footerReference w:type="default" r:id="rId9"/>
          <w:pgSz w:w="11906" w:h="16838"/>
          <w:pgMar w:top="567" w:right="1134" w:bottom="1134" w:left="1417" w:header="1418" w:footer="1134" w:gutter="0"/>
          <w:pgNumType w:fmt="upperRoman" w:start="1"/>
          <w:cols w:space="720"/>
          <w:formProt w:val="0"/>
          <w:docGrid w:type="lines" w:linePitch="312"/>
        </w:sectPr>
      </w:pPr>
      <w:r>
        <w:tab/>
      </w:r>
    </w:p>
    <w:p w:rsidR="004A3EE5" w:rsidRDefault="004A3EE5" w:rsidP="004A3EE5">
      <w:pPr>
        <w:pStyle w:val="12"/>
        <w:spacing w:before="312" w:after="312"/>
        <w:rPr>
          <w:szCs w:val="21"/>
        </w:rPr>
      </w:pPr>
      <w:bookmarkStart w:id="24" w:name="_Toc25293"/>
      <w:bookmarkStart w:id="25" w:name="_Toc11209"/>
      <w:r>
        <w:rPr>
          <w:szCs w:val="21"/>
        </w:rPr>
        <w:lastRenderedPageBreak/>
        <w:t xml:space="preserve">1 </w:t>
      </w:r>
      <w:r>
        <w:rPr>
          <w:szCs w:val="21"/>
        </w:rPr>
        <w:t>编制背景</w:t>
      </w:r>
      <w:bookmarkEnd w:id="24"/>
      <w:bookmarkEnd w:id="25"/>
    </w:p>
    <w:p w:rsidR="004A3EE5" w:rsidRDefault="004A3EE5" w:rsidP="004A3EE5">
      <w:pPr>
        <w:pStyle w:val="a7"/>
        <w:rPr>
          <w:rFonts w:ascii="Times New Roman"/>
        </w:rPr>
      </w:pPr>
      <w:r>
        <w:rPr>
          <w:rFonts w:ascii="Times New Roman"/>
        </w:rPr>
        <w:t>本文件是根据中国电机工程学会电机</w:t>
      </w:r>
      <w:proofErr w:type="gramStart"/>
      <w:r>
        <w:rPr>
          <w:rFonts w:ascii="Times New Roman"/>
        </w:rPr>
        <w:t>咨</w:t>
      </w:r>
      <w:proofErr w:type="gramEnd"/>
      <w:r>
        <w:rPr>
          <w:rFonts w:ascii="Times New Roman"/>
        </w:rPr>
        <w:t>〔</w:t>
      </w:r>
      <w:r>
        <w:rPr>
          <w:rFonts w:ascii="Times New Roman"/>
        </w:rPr>
        <w:t>2023</w:t>
      </w:r>
      <w:r>
        <w:rPr>
          <w:rFonts w:ascii="Times New Roman"/>
        </w:rPr>
        <w:t>〕</w:t>
      </w:r>
      <w:r>
        <w:rPr>
          <w:rFonts w:ascii="Times New Roman"/>
        </w:rPr>
        <w:t xml:space="preserve">512 </w:t>
      </w:r>
      <w:r>
        <w:rPr>
          <w:rFonts w:ascii="Times New Roman"/>
        </w:rPr>
        <w:t>号文，“关于印发中国电机工程学会</w:t>
      </w:r>
      <w:r>
        <w:rPr>
          <w:rFonts w:ascii="Times New Roman"/>
        </w:rPr>
        <w:t>2023</w:t>
      </w:r>
      <w:r>
        <w:rPr>
          <w:rFonts w:ascii="Times New Roman"/>
        </w:rPr>
        <w:t>年标准计划（第二批）的通知”下达制定任务，项目序号</w:t>
      </w:r>
      <w:r>
        <w:rPr>
          <w:rFonts w:ascii="Times New Roman"/>
        </w:rPr>
        <w:t>202302200003</w:t>
      </w:r>
      <w:r>
        <w:rPr>
          <w:rFonts w:ascii="Times New Roman"/>
        </w:rPr>
        <w:t>，对“失效矿物绝缘油处置技术条件标准”进行制定的。</w:t>
      </w:r>
      <w:proofErr w:type="gramStart"/>
      <w:r>
        <w:rPr>
          <w:rFonts w:ascii="Times New Roman"/>
        </w:rPr>
        <w:t>由国网湖北省</w:t>
      </w:r>
      <w:proofErr w:type="gramEnd"/>
      <w:r>
        <w:rPr>
          <w:rFonts w:ascii="Times New Roman"/>
        </w:rPr>
        <w:t>电力有限公司电力科学研究院负责起草。</w:t>
      </w:r>
    </w:p>
    <w:p w:rsidR="004A3EE5" w:rsidRDefault="004A3EE5" w:rsidP="004A3EE5">
      <w:pPr>
        <w:pStyle w:val="a7"/>
        <w:rPr>
          <w:rFonts w:ascii="Times New Roman"/>
        </w:rPr>
      </w:pPr>
      <w:r>
        <w:rPr>
          <w:rFonts w:ascii="Times New Roman"/>
        </w:rPr>
        <w:t>为了规范失效矿物绝缘油处置中的术语和定义、分类、失效判定检验方法及合理分类处置，达到分级判定检定、回收保值、</w:t>
      </w:r>
      <w:proofErr w:type="gramStart"/>
      <w:r>
        <w:rPr>
          <w:rFonts w:ascii="Times New Roman"/>
        </w:rPr>
        <w:t>修复再</w:t>
      </w:r>
      <w:proofErr w:type="gramEnd"/>
      <w:r>
        <w:rPr>
          <w:rFonts w:ascii="Times New Roman"/>
        </w:rPr>
        <w:t>利用和废物资源化利用目的</w:t>
      </w:r>
      <w:r>
        <w:rPr>
          <w:rFonts w:ascii="Times New Roman"/>
        </w:rPr>
        <w:t>,</w:t>
      </w:r>
      <w:r>
        <w:rPr>
          <w:rFonts w:ascii="Times New Roman"/>
        </w:rPr>
        <w:t>特制订《失效矿物绝缘油处置技术条件》。</w:t>
      </w:r>
    </w:p>
    <w:p w:rsidR="004A3EE5" w:rsidRDefault="004A3EE5" w:rsidP="004A3EE5">
      <w:pPr>
        <w:pStyle w:val="a7"/>
        <w:rPr>
          <w:rFonts w:ascii="Times New Roman"/>
        </w:rPr>
      </w:pPr>
      <w:r>
        <w:rPr>
          <w:rFonts w:ascii="Times New Roman"/>
        </w:rPr>
        <w:t>制订《失效矿物绝缘油处置技术条件》标准意义：近年来，电力系统用绝缘油里越来越大，各种各样的退役油、劣化油、回收绝缘油越来越多。</w:t>
      </w:r>
      <w:proofErr w:type="gramStart"/>
      <w:r>
        <w:rPr>
          <w:rFonts w:ascii="Times New Roman"/>
        </w:rPr>
        <w:t>由国网湖北省</w:t>
      </w:r>
      <w:proofErr w:type="gramEnd"/>
      <w:r>
        <w:rPr>
          <w:rFonts w:ascii="Times New Roman"/>
        </w:rPr>
        <w:t>电力公司孝感供电公司研制和生产的</w:t>
      </w:r>
      <w:r>
        <w:rPr>
          <w:rFonts w:ascii="Times New Roman"/>
        </w:rPr>
        <w:t>XD</w:t>
      </w:r>
      <w:r>
        <w:rPr>
          <w:rFonts w:ascii="Times New Roman"/>
        </w:rPr>
        <w:t>系列新型高效吸附剂用于电力用绝缘油脱水、破乳化、脱酸、提高绝缘电阻、降低介质损耗因素和脱色有很好的技术效果。为了保证本分级判定检定、回收保值、</w:t>
      </w:r>
      <w:proofErr w:type="gramStart"/>
      <w:r>
        <w:rPr>
          <w:rFonts w:ascii="Times New Roman"/>
        </w:rPr>
        <w:t>修复再</w:t>
      </w:r>
      <w:proofErr w:type="gramEnd"/>
      <w:r>
        <w:rPr>
          <w:rFonts w:ascii="Times New Roman"/>
        </w:rPr>
        <w:t>利用和废物资源化利用的规范化和标准化，特制订本标准。</w:t>
      </w:r>
    </w:p>
    <w:p w:rsidR="004A3EE5" w:rsidRDefault="004A3EE5" w:rsidP="004A3EE5">
      <w:pPr>
        <w:pStyle w:val="a7"/>
        <w:rPr>
          <w:rFonts w:ascii="Times New Roman"/>
        </w:rPr>
      </w:pPr>
      <w:r>
        <w:rPr>
          <w:rFonts w:ascii="Times New Roman"/>
        </w:rPr>
        <w:t>本文件与有关政策、法律法规及强制性标准相一致。目前我国将废旧变压器油归为危险废物，由环保部门强制监控。环保部出台了《危险废物收集暂存运输处置管理办法》，本标准参照环保标准制定更详细的收集分类处置措施。</w:t>
      </w:r>
      <w:r>
        <w:rPr>
          <w:rFonts w:ascii="Times New Roman"/>
        </w:rPr>
        <w:t>DL/T1419-2015</w:t>
      </w:r>
      <w:r>
        <w:rPr>
          <w:rFonts w:ascii="Times New Roman"/>
        </w:rPr>
        <w:t>《变压器油再生与使用导则》和</w:t>
      </w:r>
      <w:r>
        <w:rPr>
          <w:rFonts w:ascii="Times New Roman"/>
        </w:rPr>
        <w:t>DL/T 1837-2018</w:t>
      </w:r>
      <w:r>
        <w:rPr>
          <w:rFonts w:ascii="Times New Roman"/>
        </w:rPr>
        <w:t>《电力用矿物绝缘油换油指标》主要是针对生产运行使用过程中的油，而本标准是针对回收处置中心集中暂存的废旧油，填补了相关标准在回收油、报废油判定检定和处置及其回收保值与修复、资源化利用方面的空白。</w:t>
      </w:r>
    </w:p>
    <w:p w:rsidR="004A3EE5" w:rsidRDefault="004A3EE5" w:rsidP="004A3EE5">
      <w:pPr>
        <w:pStyle w:val="12"/>
        <w:spacing w:before="312" w:after="312"/>
        <w:rPr>
          <w:szCs w:val="21"/>
        </w:rPr>
      </w:pPr>
      <w:bookmarkStart w:id="26" w:name="_Toc24141"/>
      <w:bookmarkStart w:id="27" w:name="_Toc15889"/>
      <w:r>
        <w:rPr>
          <w:szCs w:val="21"/>
        </w:rPr>
        <w:t xml:space="preserve">2 </w:t>
      </w:r>
      <w:r>
        <w:rPr>
          <w:szCs w:val="21"/>
        </w:rPr>
        <w:t>编制主要原则</w:t>
      </w:r>
      <w:bookmarkEnd w:id="26"/>
      <w:bookmarkEnd w:id="27"/>
    </w:p>
    <w:p w:rsidR="004A3EE5" w:rsidRDefault="004A3EE5" w:rsidP="004A3EE5">
      <w:pPr>
        <w:pStyle w:val="ab"/>
        <w:spacing w:beforeLines="50" w:before="156" w:afterLines="50" w:after="156"/>
        <w:rPr>
          <w:rFonts w:ascii="Times New Roman"/>
        </w:rPr>
      </w:pPr>
      <w:bookmarkStart w:id="28" w:name="_Toc31771"/>
      <w:bookmarkStart w:id="29" w:name="_Toc117844466"/>
      <w:r>
        <w:rPr>
          <w:rFonts w:ascii="Times New Roman"/>
        </w:rPr>
        <w:t>2.1</w:t>
      </w:r>
      <w:r>
        <w:rPr>
          <w:rFonts w:ascii="Times New Roman"/>
        </w:rPr>
        <w:t>统一性</w:t>
      </w:r>
      <w:bookmarkEnd w:id="28"/>
      <w:bookmarkEnd w:id="29"/>
    </w:p>
    <w:p w:rsidR="004A3EE5" w:rsidRDefault="004A3EE5" w:rsidP="004A3EE5">
      <w:pPr>
        <w:pStyle w:val="ab"/>
        <w:spacing w:beforeLines="50" w:before="156" w:afterLines="50" w:after="156"/>
        <w:rPr>
          <w:rFonts w:ascii="Times New Roman"/>
        </w:rPr>
      </w:pPr>
      <w:bookmarkStart w:id="30" w:name="_Toc117844467"/>
      <w:bookmarkStart w:id="31" w:name="_Toc14610"/>
      <w:r>
        <w:rPr>
          <w:rFonts w:ascii="Times New Roman"/>
        </w:rPr>
        <w:t xml:space="preserve">2.1.1 </w:t>
      </w:r>
      <w:r>
        <w:rPr>
          <w:rFonts w:ascii="Times New Roman"/>
        </w:rPr>
        <w:t>文体统一</w:t>
      </w:r>
      <w:bookmarkEnd w:id="30"/>
      <w:bookmarkEnd w:id="31"/>
    </w:p>
    <w:p w:rsidR="004A3EE5" w:rsidRDefault="004A3EE5" w:rsidP="004A3EE5">
      <w:pPr>
        <w:ind w:firstLineChars="200" w:firstLine="420"/>
      </w:pPr>
      <w:r>
        <w:t>文件中各个章节涉及到相同的内容或相似的内容时，使用相同或类似的措辞描述。</w:t>
      </w:r>
    </w:p>
    <w:p w:rsidR="004A3EE5" w:rsidRDefault="004A3EE5" w:rsidP="004A3EE5">
      <w:pPr>
        <w:pStyle w:val="ab"/>
        <w:spacing w:beforeLines="50" w:before="156" w:afterLines="50" w:after="156"/>
        <w:rPr>
          <w:rFonts w:ascii="Times New Roman"/>
        </w:rPr>
      </w:pPr>
      <w:bookmarkStart w:id="32" w:name="_Toc23485"/>
      <w:bookmarkStart w:id="33" w:name="_Toc117844468"/>
      <w:r>
        <w:rPr>
          <w:rFonts w:ascii="Times New Roman"/>
        </w:rPr>
        <w:t xml:space="preserve">2.1.2 </w:t>
      </w:r>
      <w:r>
        <w:rPr>
          <w:rFonts w:ascii="Times New Roman"/>
        </w:rPr>
        <w:t>术语统一</w:t>
      </w:r>
      <w:bookmarkEnd w:id="32"/>
      <w:bookmarkEnd w:id="33"/>
    </w:p>
    <w:p w:rsidR="004A3EE5" w:rsidRDefault="004A3EE5" w:rsidP="004A3EE5">
      <w:pPr>
        <w:ind w:firstLineChars="200" w:firstLine="420"/>
      </w:pPr>
      <w:r>
        <w:t>文件中对于同一个概念均使用同一个术语，对于已定义的概念会避免使用同义词，每个选用的术语尽可能只有唯一含义。</w:t>
      </w:r>
    </w:p>
    <w:p w:rsidR="004A3EE5" w:rsidRDefault="004A3EE5" w:rsidP="004A3EE5">
      <w:pPr>
        <w:pStyle w:val="ab"/>
        <w:spacing w:beforeLines="50" w:before="156" w:afterLines="50" w:after="156"/>
        <w:rPr>
          <w:rFonts w:ascii="Times New Roman"/>
        </w:rPr>
      </w:pPr>
      <w:bookmarkStart w:id="34" w:name="_Toc20725"/>
      <w:bookmarkStart w:id="35" w:name="_Toc117844469"/>
      <w:r>
        <w:rPr>
          <w:rFonts w:ascii="Times New Roman"/>
        </w:rPr>
        <w:t xml:space="preserve">2.2  </w:t>
      </w:r>
      <w:r>
        <w:rPr>
          <w:rFonts w:ascii="Times New Roman"/>
        </w:rPr>
        <w:t>协调性</w:t>
      </w:r>
      <w:bookmarkEnd w:id="34"/>
      <w:bookmarkEnd w:id="35"/>
    </w:p>
    <w:p w:rsidR="004A3EE5" w:rsidRDefault="004A3EE5" w:rsidP="004A3EE5">
      <w:pPr>
        <w:ind w:firstLineChars="200" w:firstLine="420"/>
      </w:pPr>
      <w:r>
        <w:t>目前我国将废旧变压器油归为危险废物，由环保部门强制监控。国家电网有限公司出台了</w:t>
      </w:r>
      <w:r>
        <w:t xml:space="preserve">Q/GDW 12289.1—2023 </w:t>
      </w:r>
      <w:r>
        <w:t>《电网企业危险废物暂存场所环境保护技术规范第</w:t>
      </w:r>
      <w:r>
        <w:t xml:space="preserve"> 1 </w:t>
      </w:r>
      <w:r>
        <w:t>部分：暂存仓库》和</w:t>
      </w:r>
      <w:r>
        <w:t>Q/GDW 12289.2—2023</w:t>
      </w:r>
      <w:r>
        <w:t>《电网企业危险废物暂存场所环境保护技术规范第</w:t>
      </w:r>
      <w:r>
        <w:t xml:space="preserve"> 2 </w:t>
      </w:r>
      <w:r>
        <w:t>部分：模块化箱式暂存仓》，本标准参照环保标准制定更详细的收集分类处置措施。本领域中已有的标准</w:t>
      </w:r>
      <w:r>
        <w:t>DL/T1419-2015</w:t>
      </w:r>
      <w:r>
        <w:t>《变压器油再生与使用导则》和</w:t>
      </w:r>
      <w:r>
        <w:t>DL/T 1837-2018</w:t>
      </w:r>
      <w:r>
        <w:t>《电力用矿物绝缘油换油指标》虽然对矿物绝缘油报废工作提出相应要求，但是</w:t>
      </w:r>
      <w:r>
        <w:t>DL/T1419-2015</w:t>
      </w:r>
      <w:r>
        <w:t>《变压器油再生与使用导则》和</w:t>
      </w:r>
      <w:r>
        <w:t>DL/T 1837-2018</w:t>
      </w:r>
      <w:r>
        <w:t>《电力用矿物绝缘油换油指标》是指在生产运行使用过程中的油，而本标准是指回收处置中心集中暂存的废旧油。从技术报告看，对失效矿物油麦耶斯指数进行介绍和要求，因此本文件与</w:t>
      </w:r>
      <w:r>
        <w:t>DL/T1419-2015</w:t>
      </w:r>
      <w:r>
        <w:t>《变压器油再生与使用导则》和</w:t>
      </w:r>
      <w:r>
        <w:t>DL/T 1837-2018</w:t>
      </w:r>
      <w:r>
        <w:t>《电力用矿物绝缘油换油指标》在使用上能够形成很好的互补，有利于形成标准</w:t>
      </w:r>
      <w:r>
        <w:lastRenderedPageBreak/>
        <w:t>化产品市场秩序，有效推进失效报废流程规范和再利用吸附剂的应用推广，进而提升电网失效矿物绝缘油报废能力和整体运行效率。</w:t>
      </w:r>
    </w:p>
    <w:p w:rsidR="004A3EE5" w:rsidRDefault="004A3EE5" w:rsidP="004A3EE5">
      <w:pPr>
        <w:pStyle w:val="ab"/>
        <w:spacing w:beforeLines="50" w:before="156" w:afterLines="50" w:after="156"/>
        <w:rPr>
          <w:rFonts w:ascii="Times New Roman"/>
        </w:rPr>
      </w:pPr>
      <w:bookmarkStart w:id="36" w:name="_Toc117844470"/>
      <w:bookmarkStart w:id="37" w:name="_Toc23501"/>
      <w:r>
        <w:rPr>
          <w:rFonts w:ascii="Times New Roman"/>
        </w:rPr>
        <w:t xml:space="preserve">2.3  </w:t>
      </w:r>
      <w:r>
        <w:rPr>
          <w:rFonts w:ascii="Times New Roman"/>
        </w:rPr>
        <w:t>实用性</w:t>
      </w:r>
      <w:bookmarkEnd w:id="36"/>
      <w:bookmarkEnd w:id="37"/>
    </w:p>
    <w:p w:rsidR="004A3EE5" w:rsidRDefault="004A3EE5" w:rsidP="004A3EE5">
      <w:pPr>
        <w:pStyle w:val="ab"/>
        <w:spacing w:beforeLines="50" w:before="156" w:afterLines="50" w:after="156"/>
        <w:rPr>
          <w:rFonts w:ascii="Times New Roman"/>
        </w:rPr>
      </w:pPr>
      <w:bookmarkStart w:id="38" w:name="_Toc117844471"/>
      <w:bookmarkStart w:id="39" w:name="_Toc13624"/>
      <w:r>
        <w:rPr>
          <w:rFonts w:ascii="Times New Roman"/>
        </w:rPr>
        <w:t xml:space="preserve">2.3.1  </w:t>
      </w:r>
      <w:r>
        <w:rPr>
          <w:rFonts w:ascii="Times New Roman"/>
        </w:rPr>
        <w:t>采用有利于失效矿物绝缘油再生质量提升的原则</w:t>
      </w:r>
      <w:bookmarkEnd w:id="38"/>
      <w:bookmarkEnd w:id="39"/>
    </w:p>
    <w:p w:rsidR="004A3EE5" w:rsidRDefault="004A3EE5" w:rsidP="004A3EE5">
      <w:pPr>
        <w:ind w:firstLineChars="200" w:firstLine="420"/>
      </w:pPr>
      <w:r>
        <w:t>标准制订针对不同质量等级失效矿物绝缘油的差距，先制订不同吸附剂量的失效矿物绝缘油再生标准，采用逐步加大吸附剂量提升再生油质量的方案，改善再生油酸值高、</w:t>
      </w:r>
      <w:proofErr w:type="gramStart"/>
      <w:r>
        <w:t>介损大和易</w:t>
      </w:r>
      <w:proofErr w:type="gramEnd"/>
      <w:r>
        <w:t>老化的弱点，对后期再生油挂网运行、老化分析具有重要的现实意义。</w:t>
      </w:r>
    </w:p>
    <w:p w:rsidR="004A3EE5" w:rsidRDefault="004A3EE5" w:rsidP="004A3EE5">
      <w:pPr>
        <w:pStyle w:val="ab"/>
        <w:spacing w:beforeLines="50" w:before="156" w:afterLines="50" w:after="156"/>
        <w:rPr>
          <w:rFonts w:ascii="Times New Roman"/>
        </w:rPr>
      </w:pPr>
      <w:bookmarkStart w:id="40" w:name="_Toc20181"/>
      <w:bookmarkStart w:id="41" w:name="_Toc117844472"/>
      <w:r>
        <w:rPr>
          <w:rFonts w:ascii="Times New Roman"/>
        </w:rPr>
        <w:t xml:space="preserve">2.3.2  </w:t>
      </w:r>
      <w:r>
        <w:rPr>
          <w:rFonts w:ascii="Times New Roman"/>
        </w:rPr>
        <w:t>采用有利于绝缘油运行稳定的原则</w:t>
      </w:r>
      <w:bookmarkEnd w:id="40"/>
      <w:bookmarkEnd w:id="41"/>
    </w:p>
    <w:p w:rsidR="004A3EE5" w:rsidRDefault="004A3EE5" w:rsidP="004A3EE5">
      <w:pPr>
        <w:ind w:firstLineChars="200" w:firstLine="420"/>
      </w:pPr>
      <w:r>
        <w:t>由于失效油再生精制后的绝缘油和传统的新油老化特性不同，因此，需要开展失效矿物绝缘油再生精制后的绝缘油挂网运行，以及通过提高负荷加速老化实验，研究再生精制后的矿物绝缘油老化引起其特征量的变化规律，提出再生精制后的矿物绝缘油老化分析的新方法、吸附剂加用量和报废条件，对失效的矿物绝缘油再生使用具有重大意义。</w:t>
      </w:r>
    </w:p>
    <w:p w:rsidR="004A3EE5" w:rsidRDefault="004A3EE5" w:rsidP="004A3EE5">
      <w:pPr>
        <w:pStyle w:val="ab"/>
        <w:spacing w:beforeLines="50" w:before="156" w:afterLines="50" w:after="156"/>
        <w:rPr>
          <w:rFonts w:ascii="Times New Roman"/>
        </w:rPr>
      </w:pPr>
      <w:bookmarkStart w:id="42" w:name="_Toc117844473"/>
      <w:bookmarkStart w:id="43" w:name="_Toc5464"/>
      <w:r>
        <w:rPr>
          <w:rFonts w:ascii="Times New Roman"/>
        </w:rPr>
        <w:t xml:space="preserve">2.3.3  </w:t>
      </w:r>
      <w:r>
        <w:rPr>
          <w:rFonts w:ascii="Times New Roman"/>
        </w:rPr>
        <w:t>有利于失效矿物绝缘油绝缘油在低碳环保和资源利用领域的应用快速推进</w:t>
      </w:r>
      <w:bookmarkEnd w:id="42"/>
      <w:bookmarkEnd w:id="43"/>
    </w:p>
    <w:p w:rsidR="004A3EE5" w:rsidRDefault="004A3EE5" w:rsidP="004A3EE5">
      <w:pPr>
        <w:ind w:firstLineChars="200" w:firstLine="420"/>
      </w:pPr>
      <w:r>
        <w:t>为了验证失效矿物绝缘油再生后长期运行的可行性及解决大范围推广运行的阻碍，我们通过对再生的失效矿物绝缘油进行检测试验，发现存在的问题，分析查找出问题的原因并解决问题，然后再对使用再生油的变压器进行调试试验，检测使用再生油的变压器投入前的运行状态有无异常，如有异常对使用再生油的变压器进行检修及维护（需变压器厂家检修或更换通知用户联系厂家），无异常投运后按标准定期做跟踪试验，确保使用再生油的变压器正常运行。</w:t>
      </w:r>
    </w:p>
    <w:p w:rsidR="004A3EE5" w:rsidRDefault="004A3EE5" w:rsidP="004A3EE5">
      <w:pPr>
        <w:ind w:firstLineChars="200" w:firstLine="420"/>
      </w:pPr>
      <w:r>
        <w:t>总之，通过本标准的制订和应用，提升失效矿物绝缘油的再生质量，可提高变压器油的使用寿命，制定失效矿物绝缘油再生标准和报废技术条件，最大限度地利用设备价值，具有较大的经济效益和环保社会效益，研究成果可在全国范围内推广应用。</w:t>
      </w:r>
    </w:p>
    <w:p w:rsidR="004A3EE5" w:rsidRDefault="004A3EE5" w:rsidP="004A3EE5">
      <w:pPr>
        <w:pStyle w:val="12"/>
        <w:spacing w:before="312" w:after="312"/>
      </w:pPr>
      <w:bookmarkStart w:id="44" w:name="_Toc21756"/>
      <w:bookmarkStart w:id="45" w:name="_Toc14575"/>
      <w:r>
        <w:t xml:space="preserve">3 </w:t>
      </w:r>
      <w:r>
        <w:t>主要工作过程</w:t>
      </w:r>
      <w:bookmarkEnd w:id="44"/>
      <w:bookmarkEnd w:id="45"/>
    </w:p>
    <w:p w:rsidR="004A3EE5" w:rsidRDefault="004A3EE5" w:rsidP="004A3EE5">
      <w:pPr>
        <w:pStyle w:val="13"/>
      </w:pPr>
      <w:r>
        <w:t>自</w:t>
      </w:r>
      <w:r>
        <w:t>2018</w:t>
      </w:r>
      <w:r>
        <w:t>年起，</w:t>
      </w:r>
      <w:proofErr w:type="gramStart"/>
      <w:r>
        <w:t>国网湖北省</w:t>
      </w:r>
      <w:proofErr w:type="gramEnd"/>
      <w:r>
        <w:t>电力有限公司孝感供电公司对多地变压器油进行采集分析和回收处理，并牵头编制了《矿物绝缘油失效报废技术规范》企业标准。执行过程中积累了丰富的失效油性</w:t>
      </w:r>
      <w:proofErr w:type="gramStart"/>
      <w:r>
        <w:t>能数据</w:t>
      </w:r>
      <w:proofErr w:type="gramEnd"/>
      <w:r>
        <w:t>以及评估分类、回收利用、报废经验。为《失效矿物绝缘油处置技术条件标准》的制定提供了技术保障。</w:t>
      </w:r>
    </w:p>
    <w:p w:rsidR="004A3EE5" w:rsidRDefault="004A3EE5" w:rsidP="004A3EE5">
      <w:pPr>
        <w:pStyle w:val="13"/>
      </w:pPr>
      <w:r>
        <w:t>2023</w:t>
      </w:r>
      <w:r>
        <w:t>年</w:t>
      </w:r>
      <w:r>
        <w:t xml:space="preserve"> 2</w:t>
      </w:r>
      <w:r>
        <w:t>月，向中国电机工程学会变电专业标准委员会提交了立项申请并成立了项目工作组。</w:t>
      </w:r>
    </w:p>
    <w:p w:rsidR="004A3EE5" w:rsidRDefault="004A3EE5" w:rsidP="004A3EE5">
      <w:pPr>
        <w:pStyle w:val="13"/>
      </w:pPr>
      <w:r>
        <w:t xml:space="preserve">2023 </w:t>
      </w:r>
      <w:r>
        <w:t>年</w:t>
      </w:r>
      <w:r>
        <w:t>12</w:t>
      </w:r>
      <w:r>
        <w:t>月，中国电机工程学会下达通知，通过了立项申请，同期工作组编</w:t>
      </w:r>
      <w:proofErr w:type="gramStart"/>
      <w:r>
        <w:t>写完成</w:t>
      </w:r>
      <w:proofErr w:type="gramEnd"/>
      <w:r>
        <w:t>了项目任务书。</w:t>
      </w:r>
    </w:p>
    <w:p w:rsidR="004A3EE5" w:rsidRDefault="004A3EE5" w:rsidP="004A3EE5">
      <w:pPr>
        <w:pStyle w:val="13"/>
      </w:pPr>
      <w:r>
        <w:t>2024</w:t>
      </w:r>
      <w:r>
        <w:t>年</w:t>
      </w:r>
      <w:r>
        <w:t>2</w:t>
      </w:r>
      <w:r>
        <w:t>月，工作组依据标准项目任务书，修改了标准草案，形成标准初稿。</w:t>
      </w:r>
    </w:p>
    <w:p w:rsidR="004A3EE5" w:rsidRDefault="004A3EE5" w:rsidP="004A3EE5">
      <w:pPr>
        <w:pStyle w:val="13"/>
      </w:pPr>
      <w:r>
        <w:t>2024</w:t>
      </w:r>
      <w:r>
        <w:t>年</w:t>
      </w:r>
      <w:r>
        <w:t>4</w:t>
      </w:r>
      <w:r>
        <w:t>月，工作组对标准初稿进行内部审查，并按照审查意见修改。</w:t>
      </w:r>
    </w:p>
    <w:p w:rsidR="004A3EE5" w:rsidRDefault="004A3EE5" w:rsidP="004A3EE5">
      <w:pPr>
        <w:pStyle w:val="13"/>
      </w:pPr>
      <w:r>
        <w:t>2024</w:t>
      </w:r>
      <w:r>
        <w:t>年</w:t>
      </w:r>
      <w:r>
        <w:t xml:space="preserve"> 6</w:t>
      </w:r>
      <w:r>
        <w:t>月，工作组邀请专家对标准初稿进行审查，并按照审查意见修改，形成征求意见稿。</w:t>
      </w:r>
    </w:p>
    <w:p w:rsidR="004A3EE5" w:rsidRDefault="004A3EE5" w:rsidP="004A3EE5">
      <w:pPr>
        <w:pStyle w:val="13"/>
      </w:pPr>
    </w:p>
    <w:p w:rsidR="004A3EE5" w:rsidRDefault="004A3EE5" w:rsidP="004A3EE5">
      <w:pPr>
        <w:pStyle w:val="13"/>
      </w:pPr>
    </w:p>
    <w:p w:rsidR="004A3EE5" w:rsidRDefault="004A3EE5" w:rsidP="004A3EE5">
      <w:pPr>
        <w:pStyle w:val="13"/>
      </w:pPr>
    </w:p>
    <w:p w:rsidR="004A3EE5" w:rsidRDefault="004A3EE5" w:rsidP="004A3EE5">
      <w:pPr>
        <w:pStyle w:val="12"/>
        <w:spacing w:before="312" w:after="312"/>
      </w:pPr>
      <w:bookmarkStart w:id="46" w:name="_Toc5433"/>
      <w:bookmarkStart w:id="47" w:name="_Toc117844477"/>
      <w:bookmarkStart w:id="48" w:name="_Toc12809"/>
      <w:bookmarkStart w:id="49" w:name="_Toc117773022"/>
      <w:r>
        <w:lastRenderedPageBreak/>
        <w:t xml:space="preserve">4  </w:t>
      </w:r>
      <w:r>
        <w:t>标准结构和内容说明</w:t>
      </w:r>
      <w:bookmarkEnd w:id="46"/>
      <w:bookmarkEnd w:id="47"/>
      <w:bookmarkEnd w:id="48"/>
      <w:bookmarkEnd w:id="49"/>
    </w:p>
    <w:p w:rsidR="004A3EE5" w:rsidRDefault="004A3EE5" w:rsidP="004A3EE5">
      <w:pPr>
        <w:pStyle w:val="ab"/>
        <w:spacing w:beforeLines="50" w:before="156" w:afterLines="50" w:after="156"/>
        <w:rPr>
          <w:rFonts w:ascii="Times New Roman"/>
        </w:rPr>
      </w:pPr>
      <w:bookmarkStart w:id="50" w:name="_Toc117844478"/>
      <w:bookmarkStart w:id="51" w:name="_Toc26076"/>
      <w:r>
        <w:rPr>
          <w:rFonts w:ascii="Times New Roman"/>
        </w:rPr>
        <w:t xml:space="preserve">4.1 </w:t>
      </w:r>
      <w:r>
        <w:rPr>
          <w:rFonts w:ascii="Times New Roman"/>
        </w:rPr>
        <w:t>范围</w:t>
      </w:r>
      <w:bookmarkEnd w:id="50"/>
      <w:bookmarkEnd w:id="51"/>
    </w:p>
    <w:p w:rsidR="004A3EE5" w:rsidRDefault="004A3EE5" w:rsidP="004A3EE5">
      <w:pPr>
        <w:ind w:firstLineChars="200" w:firstLine="420"/>
      </w:pPr>
      <w:r>
        <w:t>本文件规定了失效的矿物绝缘油处置中的术语和定义、失效矿物绝缘油的报废判定和分类处置、标志、包装、运输和储存。</w:t>
      </w:r>
    </w:p>
    <w:p w:rsidR="004A3EE5" w:rsidRDefault="004A3EE5" w:rsidP="004A3EE5">
      <w:pPr>
        <w:ind w:firstLineChars="200" w:firstLine="420"/>
      </w:pPr>
      <w:r>
        <w:t>本文件适用于对矿物绝缘油失效处置中的判定检定、回收保值和</w:t>
      </w:r>
      <w:proofErr w:type="gramStart"/>
      <w:r>
        <w:t>修复再</w:t>
      </w:r>
      <w:proofErr w:type="gramEnd"/>
      <w:r>
        <w:t>利用。</w:t>
      </w:r>
    </w:p>
    <w:p w:rsidR="004A3EE5" w:rsidRDefault="004A3EE5" w:rsidP="004A3EE5">
      <w:pPr>
        <w:pStyle w:val="ab"/>
        <w:spacing w:beforeLines="50" w:before="156" w:afterLines="50" w:after="156"/>
        <w:rPr>
          <w:rFonts w:ascii="Times New Roman"/>
        </w:rPr>
      </w:pPr>
      <w:bookmarkStart w:id="52" w:name="_Toc117844479"/>
      <w:bookmarkStart w:id="53" w:name="_Toc21337"/>
      <w:r>
        <w:rPr>
          <w:rFonts w:ascii="Times New Roman"/>
        </w:rPr>
        <w:t xml:space="preserve">4.2 </w:t>
      </w:r>
      <w:r>
        <w:rPr>
          <w:rFonts w:ascii="Times New Roman"/>
        </w:rPr>
        <w:t>主要技术内容</w:t>
      </w:r>
      <w:bookmarkEnd w:id="52"/>
      <w:bookmarkEnd w:id="53"/>
    </w:p>
    <w:p w:rsidR="004A3EE5" w:rsidRDefault="004A3EE5" w:rsidP="004A3EE5">
      <w:pPr>
        <w:ind w:firstLineChars="200" w:firstLine="420"/>
        <w:rPr>
          <w:szCs w:val="22"/>
        </w:rPr>
      </w:pPr>
      <w:proofErr w:type="gramStart"/>
      <w:r>
        <w:t>国网湖北省</w:t>
      </w:r>
      <w:proofErr w:type="gramEnd"/>
      <w:r>
        <w:t>电力有限公司孝感供电公司、武汉大学、三峡大学、中广核核电运营有限公司、中电华创</w:t>
      </w:r>
      <w:r>
        <w:t>(</w:t>
      </w:r>
      <w:r>
        <w:t>苏州</w:t>
      </w:r>
      <w:r>
        <w:t>)</w:t>
      </w:r>
      <w:r>
        <w:t>电力技术研究有限公司、</w:t>
      </w:r>
      <w:proofErr w:type="gramStart"/>
      <w:r>
        <w:t>国网福建省</w:t>
      </w:r>
      <w:proofErr w:type="gramEnd"/>
      <w:r>
        <w:t>电力有限公司电力科学研究院、</w:t>
      </w:r>
      <w:proofErr w:type="gramStart"/>
      <w:r>
        <w:t>国网湖北省</w:t>
      </w:r>
      <w:proofErr w:type="gramEnd"/>
      <w:r>
        <w:t>电力有限公司电力科学研究院、</w:t>
      </w:r>
      <w:proofErr w:type="gramStart"/>
      <w:r>
        <w:t>国网湖北省</w:t>
      </w:r>
      <w:proofErr w:type="gramEnd"/>
      <w:r>
        <w:t>电力有限公司随州供电公司、</w:t>
      </w:r>
      <w:proofErr w:type="gramStart"/>
      <w:r>
        <w:t>国网湖北省</w:t>
      </w:r>
      <w:proofErr w:type="gramEnd"/>
      <w:r>
        <w:t>电力有限公司超高压公司、</w:t>
      </w:r>
      <w:proofErr w:type="gramStart"/>
      <w:r>
        <w:t>国网江苏省</w:t>
      </w:r>
      <w:proofErr w:type="gramEnd"/>
      <w:r>
        <w:t>电力有限公司电力科学研究院、</w:t>
      </w:r>
      <w:proofErr w:type="gramStart"/>
      <w:r>
        <w:t>国网安徽省</w:t>
      </w:r>
      <w:proofErr w:type="gramEnd"/>
      <w:r>
        <w:t>电力有限公司电力科学研究院、江苏方天电力技术有限公司、</w:t>
      </w:r>
      <w:proofErr w:type="gramStart"/>
      <w:r>
        <w:t>国网河南省电力公司商丘供电公司</w:t>
      </w:r>
      <w:proofErr w:type="gramEnd"/>
      <w:r>
        <w:rPr>
          <w:szCs w:val="22"/>
        </w:rPr>
        <w:t>等单位长期合作推进技术验证及示范应用。各参编单位共同制定了本文件，主要技术内容如下：</w:t>
      </w:r>
    </w:p>
    <w:p w:rsidR="004A3EE5" w:rsidRDefault="004A3EE5" w:rsidP="004A3EE5">
      <w:pPr>
        <w:ind w:firstLineChars="200" w:firstLine="420"/>
      </w:pPr>
      <w:r>
        <w:t>（</w:t>
      </w:r>
      <w:r>
        <w:t>1</w:t>
      </w:r>
      <w:r>
        <w:t>）术语和定义，包括回收的矿物绝缘油、失效的矿物绝缘油、绝缘油麦耶斯指数。</w:t>
      </w:r>
    </w:p>
    <w:p w:rsidR="004A3EE5" w:rsidRDefault="004A3EE5" w:rsidP="004A3EE5">
      <w:pPr>
        <w:ind w:firstLineChars="200" w:firstLine="420"/>
      </w:pPr>
      <w:r>
        <w:t>（</w:t>
      </w:r>
      <w:r>
        <w:t>2</w:t>
      </w:r>
      <w:r>
        <w:t>）矿物绝缘油分类判定及处置。</w:t>
      </w:r>
    </w:p>
    <w:p w:rsidR="004A3EE5" w:rsidRDefault="004A3EE5" w:rsidP="004A3EE5">
      <w:pPr>
        <w:ind w:firstLineChars="200" w:firstLine="420"/>
      </w:pPr>
      <w:r>
        <w:t>（</w:t>
      </w:r>
      <w:r>
        <w:t>3</w:t>
      </w:r>
      <w:r>
        <w:t>）</w:t>
      </w:r>
      <w:bookmarkStart w:id="54" w:name="_Toc152961006"/>
      <w:r>
        <w:t>标志、包装、运输和储存</w:t>
      </w:r>
      <w:bookmarkEnd w:id="54"/>
      <w:r>
        <w:t>。</w:t>
      </w:r>
    </w:p>
    <w:p w:rsidR="004A3EE5" w:rsidRDefault="004A3EE5" w:rsidP="004A3EE5">
      <w:pPr>
        <w:pStyle w:val="12"/>
        <w:spacing w:before="312" w:after="312"/>
      </w:pPr>
      <w:bookmarkStart w:id="55" w:name="_Toc8617"/>
      <w:bookmarkStart w:id="56" w:name="_Toc117844480"/>
      <w:bookmarkStart w:id="57" w:name="_Toc31968"/>
      <w:bookmarkStart w:id="58" w:name="_Toc117773023"/>
      <w:r>
        <w:t xml:space="preserve">5  </w:t>
      </w:r>
      <w:r>
        <w:t>标准水平说明</w:t>
      </w:r>
      <w:bookmarkEnd w:id="55"/>
      <w:bookmarkEnd w:id="56"/>
      <w:bookmarkEnd w:id="57"/>
      <w:bookmarkEnd w:id="58"/>
    </w:p>
    <w:p w:rsidR="004A3EE5" w:rsidRDefault="004A3EE5" w:rsidP="004A3EE5">
      <w:pPr>
        <w:ind w:firstLineChars="200" w:firstLine="420"/>
      </w:pPr>
      <w:r>
        <w:t>区别《</w:t>
      </w:r>
      <w:r>
        <w:t xml:space="preserve">Q/GDW 12289.1—2023 </w:t>
      </w:r>
      <w:r>
        <w:t>电网企业危险废物暂存场所环境保护技术规范第</w:t>
      </w:r>
      <w:r>
        <w:t xml:space="preserve"> 1 </w:t>
      </w:r>
      <w:r>
        <w:t>部分：暂存仓库》和《</w:t>
      </w:r>
      <w:r>
        <w:t>Q/GDW 12289.2—2023</w:t>
      </w:r>
      <w:r>
        <w:t>电网企业危险废物暂存场所环境保护技术规范第</w:t>
      </w:r>
      <w:r>
        <w:t xml:space="preserve"> 2 </w:t>
      </w:r>
      <w:r>
        <w:t>部分：模块化箱式暂存仓》</w:t>
      </w:r>
      <w:r>
        <w:t>,</w:t>
      </w:r>
      <w:proofErr w:type="gramStart"/>
      <w:r>
        <w:t>本标准本标准</w:t>
      </w:r>
      <w:proofErr w:type="gramEnd"/>
      <w:r>
        <w:t>参照环保标准制定更详细的收集分类处置措施，</w:t>
      </w:r>
      <w:r>
        <w:t xml:space="preserve"> </w:t>
      </w:r>
      <w:r>
        <w:t>与有关法律法规及强制性标准相一致。</w:t>
      </w:r>
    </w:p>
    <w:p w:rsidR="004A3EE5" w:rsidRDefault="004A3EE5" w:rsidP="004A3EE5">
      <w:pPr>
        <w:ind w:firstLineChars="200" w:firstLine="420"/>
      </w:pPr>
      <w:r>
        <w:t>区别标准</w:t>
      </w:r>
      <w:r>
        <w:t>DL/T1419-2015</w:t>
      </w:r>
      <w:r>
        <w:t>《变压器油再生与使用导则》和</w:t>
      </w:r>
      <w:r>
        <w:t>DL/T 1837-2018</w:t>
      </w:r>
      <w:r>
        <w:t>《电力用矿物绝缘油换油指标》，这两个标准虽然对矿物绝缘油报废工作提出相应要求，但是</w:t>
      </w:r>
      <w:r>
        <w:t>DL/T1419-2015</w:t>
      </w:r>
      <w:r>
        <w:t>《变压器油再生与使用导则》和</w:t>
      </w:r>
      <w:r>
        <w:t>DL/T 1837-2018</w:t>
      </w:r>
      <w:r>
        <w:t>《电力用矿物绝缘油换油指标》是指在生产运行使用过程中的油，而本标准是指回收处置中心集中暂存的废旧油。从技术报告看，本标准对失效矿物油麦耶斯指数进行介绍和要求，因此本文件与</w:t>
      </w:r>
      <w:r>
        <w:t>DL/T1419-2015</w:t>
      </w:r>
      <w:r>
        <w:t>《变压器油再生与使用导则》和</w:t>
      </w:r>
      <w:r>
        <w:t>DL/T 1837-2018</w:t>
      </w:r>
      <w:r>
        <w:t>《电力用矿物绝缘油换油指标》在使用上能够形成很好的互补。</w:t>
      </w:r>
    </w:p>
    <w:p w:rsidR="004A3EE5" w:rsidRDefault="004A3EE5" w:rsidP="004A3EE5">
      <w:pPr>
        <w:ind w:firstLineChars="200" w:firstLine="420"/>
      </w:pPr>
      <w:r>
        <w:t>该项标准制订能起到以下作用：</w:t>
      </w:r>
    </w:p>
    <w:p w:rsidR="004A3EE5" w:rsidRDefault="004A3EE5" w:rsidP="004A3EE5">
      <w:pPr>
        <w:ind w:firstLineChars="200" w:firstLine="420"/>
      </w:pPr>
      <w:r>
        <w:t>a</w:t>
      </w:r>
      <w:r>
        <w:t>）能填补国标、行标在失效矿物绝缘油报废方面的空白；</w:t>
      </w:r>
    </w:p>
    <w:p w:rsidR="004A3EE5" w:rsidRDefault="004A3EE5" w:rsidP="004A3EE5">
      <w:pPr>
        <w:ind w:firstLineChars="200" w:firstLine="420"/>
      </w:pPr>
      <w:r>
        <w:t>b</w:t>
      </w:r>
      <w:r>
        <w:t>）是市场上失效矿物绝缘油报废和再利用亟需的技术。</w:t>
      </w:r>
    </w:p>
    <w:p w:rsidR="004A3EE5" w:rsidRDefault="004A3EE5" w:rsidP="004A3EE5">
      <w:pPr>
        <w:ind w:firstLineChars="200" w:firstLine="420"/>
      </w:pPr>
      <w:r>
        <w:t>在失效矿物绝缘油报废和再利用工艺填补了国标、行标的空白；通过分类处置和报废，延长了失效矿物绝缘油的使用寿命，使得各项报废指标相对于国外的失效报废指标更严格，达到更高要求，减少在运变压器油故障率，减少了油报废损失和变压器损坏，大副提升了失效变压器油再生市场空间。</w:t>
      </w:r>
    </w:p>
    <w:p w:rsidR="004A3EE5" w:rsidRDefault="004A3EE5" w:rsidP="004A3EE5">
      <w:pPr>
        <w:ind w:firstLineChars="200" w:firstLine="420"/>
      </w:pPr>
      <w:r>
        <w:t>与有关法律法规及强制性标准相一致。</w:t>
      </w:r>
      <w:proofErr w:type="gramStart"/>
      <w:r>
        <w:t>本标准本标准</w:t>
      </w:r>
      <w:proofErr w:type="gramEnd"/>
      <w:r>
        <w:t>参照环保标准制定更详细的收集分类处置措施。从技术报告看，对失效矿物油麦耶斯指数进行介绍和要求，因此本文件与</w:t>
      </w:r>
      <w:r>
        <w:t>DL/T1419-2015</w:t>
      </w:r>
      <w:r>
        <w:t>《变压器油再生与使用导则》和</w:t>
      </w:r>
      <w:r>
        <w:t>DL/T 1837-2018</w:t>
      </w:r>
      <w:r>
        <w:t>《电力用矿物绝缘油换油指标》在使用上能够形成很好的互补。国际标准《绝缘油回收指南和绝缘油使用准则》</w:t>
      </w:r>
      <w:r>
        <w:t>IEEE 637-1985</w:t>
      </w:r>
      <w:r>
        <w:t>（</w:t>
      </w:r>
      <w:r>
        <w:t>R2007</w:t>
      </w:r>
      <w:r>
        <w:t>）指标要求较低，不适合我国国情。</w:t>
      </w:r>
    </w:p>
    <w:p w:rsidR="004A3EE5" w:rsidRDefault="004A3EE5" w:rsidP="004A3EE5">
      <w:pPr>
        <w:pStyle w:val="12"/>
        <w:spacing w:before="312" w:after="312"/>
      </w:pPr>
      <w:bookmarkStart w:id="59" w:name="_Toc117773024"/>
      <w:bookmarkStart w:id="60" w:name="_Toc14788"/>
      <w:bookmarkStart w:id="61" w:name="_Toc14817"/>
      <w:bookmarkStart w:id="62" w:name="_Toc117844481"/>
      <w:r>
        <w:lastRenderedPageBreak/>
        <w:t xml:space="preserve">6  </w:t>
      </w:r>
      <w:r>
        <w:t>标准实施措施说明</w:t>
      </w:r>
      <w:bookmarkEnd w:id="59"/>
      <w:bookmarkEnd w:id="60"/>
      <w:bookmarkEnd w:id="61"/>
      <w:bookmarkEnd w:id="62"/>
    </w:p>
    <w:p w:rsidR="004A3EE5" w:rsidRDefault="004A3EE5" w:rsidP="004A3EE5">
      <w:pPr>
        <w:pStyle w:val="ab"/>
        <w:spacing w:beforeLines="50" w:before="156" w:afterLines="50" w:after="156"/>
        <w:rPr>
          <w:rFonts w:ascii="Times New Roman"/>
        </w:rPr>
      </w:pPr>
      <w:bookmarkStart w:id="63" w:name="_Toc117844482"/>
      <w:bookmarkStart w:id="64" w:name="_Toc26717"/>
      <w:r>
        <w:rPr>
          <w:rFonts w:ascii="Times New Roman"/>
        </w:rPr>
        <w:t xml:space="preserve">6.1 </w:t>
      </w:r>
      <w:r>
        <w:rPr>
          <w:rFonts w:ascii="Times New Roman"/>
        </w:rPr>
        <w:t>电力环保</w:t>
      </w:r>
      <w:r>
        <w:rPr>
          <w:rFonts w:ascii="Times New Roman"/>
        </w:rPr>
        <w:t>“</w:t>
      </w:r>
      <w:r>
        <w:rPr>
          <w:rFonts w:ascii="Times New Roman"/>
        </w:rPr>
        <w:t>双碳</w:t>
      </w:r>
      <w:r>
        <w:rPr>
          <w:rFonts w:ascii="Times New Roman"/>
        </w:rPr>
        <w:t>”</w:t>
      </w:r>
      <w:r>
        <w:rPr>
          <w:rFonts w:ascii="Times New Roman"/>
        </w:rPr>
        <w:t>政策后变压器油的改变</w:t>
      </w:r>
      <w:bookmarkEnd w:id="63"/>
      <w:bookmarkEnd w:id="64"/>
    </w:p>
    <w:p w:rsidR="004A3EE5" w:rsidRDefault="004A3EE5" w:rsidP="004A3EE5">
      <w:pPr>
        <w:ind w:firstLineChars="200" w:firstLine="420"/>
      </w:pPr>
      <w:r>
        <w:t>电力绝缘油主要用作电介质，具有绝缘、散热和消弧作用，是支撑电网发展的关键材料；绝缘油由深度精制的基础油调制而成，使用时间长须及时更换；据统计全国电力系统每年产生退役绝缘油约</w:t>
      </w:r>
      <w:r>
        <w:t>10</w:t>
      </w:r>
      <w:r>
        <w:t>万吨，各省需按环保要求集中暂存，否则面临处罚。回收油含有优质且十分有限的环烷烃资源（世界上只有我国的克拉玛依油田是最优质的环烷烃原油，且所剩不多），迫切需要从回收油中精制加以补充。</w:t>
      </w:r>
    </w:p>
    <w:p w:rsidR="004A3EE5" w:rsidRDefault="004A3EE5" w:rsidP="004A3EE5">
      <w:pPr>
        <w:pStyle w:val="ab"/>
        <w:spacing w:beforeLines="50" w:before="156" w:afterLines="50" w:after="156"/>
        <w:rPr>
          <w:rFonts w:ascii="Times New Roman"/>
        </w:rPr>
      </w:pPr>
      <w:bookmarkStart w:id="65" w:name="_Toc14256"/>
      <w:bookmarkStart w:id="66" w:name="_Toc117844483"/>
      <w:r>
        <w:rPr>
          <w:rFonts w:ascii="Times New Roman"/>
        </w:rPr>
        <w:t xml:space="preserve">6.2 </w:t>
      </w:r>
      <w:r>
        <w:rPr>
          <w:rFonts w:ascii="Times New Roman"/>
        </w:rPr>
        <w:t>关于标准实施范围的说明</w:t>
      </w:r>
      <w:bookmarkEnd w:id="65"/>
      <w:bookmarkEnd w:id="66"/>
    </w:p>
    <w:p w:rsidR="004A3EE5" w:rsidRDefault="004A3EE5" w:rsidP="004A3EE5">
      <w:pPr>
        <w:ind w:firstLineChars="200" w:firstLine="420"/>
      </w:pPr>
      <w:r>
        <w:t>适用范围：本标准适用于对矿物绝缘油失效处置中的判定检定、回收保值和</w:t>
      </w:r>
      <w:proofErr w:type="gramStart"/>
      <w:r>
        <w:t>修复再</w:t>
      </w:r>
      <w:proofErr w:type="gramEnd"/>
      <w:r>
        <w:t>利用。</w:t>
      </w:r>
    </w:p>
    <w:p w:rsidR="004A3EE5" w:rsidRDefault="004A3EE5" w:rsidP="004A3EE5">
      <w:pPr>
        <w:ind w:firstLineChars="200" w:firstLine="420"/>
      </w:pPr>
      <w:r>
        <w:t>主要内容：已建立孝感供电公司《变压器油失效报废技术规范》企业标准</w:t>
      </w:r>
      <w:proofErr w:type="gramStart"/>
      <w:r>
        <w:t>在国网湖北省</w:t>
      </w:r>
      <w:proofErr w:type="gramEnd"/>
      <w:r>
        <w:t>电力有限公司试行。按照此企业标准，孝感供电公司现有省级</w:t>
      </w:r>
      <w:r>
        <w:t>“</w:t>
      </w:r>
      <w:r>
        <w:t>废矿物油回收处置管理中心</w:t>
      </w:r>
      <w:r>
        <w:t>”</w:t>
      </w:r>
      <w:r>
        <w:t>，办理了电力系统首家</w:t>
      </w:r>
      <w:r>
        <w:t>“</w:t>
      </w:r>
      <w:r>
        <w:t>危废证</w:t>
      </w:r>
      <w:r>
        <w:t>”</w:t>
      </w:r>
      <w:r>
        <w:t>，每年收集全省</w:t>
      </w:r>
      <w:r>
        <w:t>14</w:t>
      </w:r>
      <w:r>
        <w:t>个地市公司约</w:t>
      </w:r>
      <w:r>
        <w:t>500</w:t>
      </w:r>
      <w:r>
        <w:t>吨废弃绝缘油分类处置，判定报废的绝缘油则在省公司环保处的统一协调下，根据分级指标对废旧变压器油进行再利用或者在省电力物资部的协调下招标售卖。</w:t>
      </w:r>
      <w:r>
        <w:t>2000</w:t>
      </w:r>
      <w:r>
        <w:t>年至</w:t>
      </w:r>
      <w:r>
        <w:t>2013</w:t>
      </w:r>
      <w:r>
        <w:t>年，孝感供电公司采用自己发明的吸附剂对大亚湾核电站约</w:t>
      </w:r>
      <w:r>
        <w:t>2000</w:t>
      </w:r>
      <w:r>
        <w:t>吨废旧变压器油进行了吸附处理，吸附效果优于美国技术的南非</w:t>
      </w:r>
      <w:proofErr w:type="gramStart"/>
      <w:r>
        <w:t>滤</w:t>
      </w:r>
      <w:proofErr w:type="gramEnd"/>
      <w:r>
        <w:t>油机。目前我国失效绝缘油回收净化主要是采用美国的分散收集废旧油处理方法和体系，即采用吸附的方法进行再利用，国外其他国家如欧洲采用集中收集的方法吸附再利用变压器油。变压器油分散收集处理急需规范化。本标准失效的矿物绝缘油处置中的术语和定义、符号和缩略语、失效矿物绝缘油的报废判定和分类处置、标志、包装、运输和储存等。本标准的建立能够为保障失效矿物绝缘油分类处置建立技术规范，避免造成不必要的油报废损失和变压器损坏，保障电网的安全稳定运行，进而保护员工、居民的人身安全。</w:t>
      </w:r>
    </w:p>
    <w:p w:rsidR="004A3EE5" w:rsidRDefault="004A3EE5" w:rsidP="004A3EE5">
      <w:pPr>
        <w:pStyle w:val="ab"/>
        <w:spacing w:beforeLines="50" w:before="156" w:afterLines="50" w:after="156"/>
        <w:rPr>
          <w:rFonts w:ascii="Times New Roman"/>
        </w:rPr>
      </w:pPr>
      <w:r>
        <w:rPr>
          <w:rFonts w:ascii="Times New Roman"/>
        </w:rPr>
        <w:t xml:space="preserve">6.3 </w:t>
      </w:r>
      <w:r>
        <w:rPr>
          <w:rFonts w:ascii="Times New Roman"/>
        </w:rPr>
        <w:t>关于标准失效油再生处理吸附剂的说明</w:t>
      </w:r>
    </w:p>
    <w:p w:rsidR="004A3EE5" w:rsidRDefault="004A3EE5" w:rsidP="004A3EE5">
      <w:pPr>
        <w:ind w:firstLineChars="200" w:firstLine="420"/>
      </w:pPr>
      <w:r>
        <w:t>本项目失效油的吸附再生技术依托孝感供电公式</w:t>
      </w:r>
      <w:r>
        <w:t>XDK</w:t>
      </w:r>
      <w:r>
        <w:t>高效吸附剂，该吸附剂优势如下：</w:t>
      </w:r>
      <w:r>
        <w:t>1</w:t>
      </w:r>
      <w:r>
        <w:t>）比表面大，吸附性能好</w:t>
      </w:r>
    </w:p>
    <w:p w:rsidR="004A3EE5" w:rsidRDefault="004A3EE5" w:rsidP="004A3EE5">
      <w:pPr>
        <w:ind w:firstLineChars="200" w:firstLine="420"/>
      </w:pPr>
      <w:r>
        <w:t>吸附净化是液</w:t>
      </w:r>
      <w:proofErr w:type="gramStart"/>
      <w:r>
        <w:t>一</w:t>
      </w:r>
      <w:proofErr w:type="gramEnd"/>
      <w:r>
        <w:t>固相界面上发生的物理作用。油中的酸性氧化物、油溶胶体、金属、微粒炭等属于吸附质。在一定温度和吸附传质速度（即一定的搅拌速度或油流量）下，当吸附剂及吸附质种类一定时，被吸附物质的量将随着吸附表面的增加而增大。因此，为了提高吸附效果，必须尽可能地选择那些比表面较大的吸附剂。经西北化工研究院分析测试中心检测，</w:t>
      </w:r>
      <w:r>
        <w:t>XDK</w:t>
      </w:r>
      <w:r>
        <w:t>系列吸附剂的比表面在</w:t>
      </w:r>
      <w:r>
        <w:t>400m</w:t>
      </w:r>
      <w:r>
        <w:rPr>
          <w:vertAlign w:val="superscript"/>
        </w:rPr>
        <w:t>2</w:t>
      </w:r>
      <w:r>
        <w:t>/g</w:t>
      </w:r>
      <w:r>
        <w:t>左右，优于传统的其他吸附剂，如白土、活性氧化铝等。</w:t>
      </w:r>
    </w:p>
    <w:p w:rsidR="004A3EE5" w:rsidRDefault="004A3EE5" w:rsidP="004A3EE5">
      <w:r>
        <w:t>2</w:t>
      </w:r>
      <w:r>
        <w:t>）吸附孔径大于现用的所有吸附剂</w:t>
      </w:r>
    </w:p>
    <w:p w:rsidR="004A3EE5" w:rsidRDefault="004A3EE5" w:rsidP="004A3EE5">
      <w:pPr>
        <w:ind w:firstLineChars="200" w:firstLine="420"/>
      </w:pPr>
      <w:r>
        <w:t>绝缘油劣化和被污染的杂质多为大分子和大粒径的物质，例如由氮、氧、硫等原子与不饱和</w:t>
      </w:r>
      <w:proofErr w:type="gramStart"/>
      <w:r>
        <w:t>烃</w:t>
      </w:r>
      <w:proofErr w:type="gramEnd"/>
      <w:r>
        <w:t>结合组成通常称为胶质的化合物，粒子线径在</w:t>
      </w:r>
      <w:r>
        <w:t>1</w:t>
      </w:r>
      <w:r>
        <w:t>～</w:t>
      </w:r>
      <w:r>
        <w:t>100nm</w:t>
      </w:r>
      <w:r>
        <w:t>金属粉尘和悬浮炭粒线径</w:t>
      </w:r>
      <w:r>
        <w:t>10</w:t>
      </w:r>
      <w:r>
        <w:t>～</w:t>
      </w:r>
      <w:r>
        <w:t>10000nm</w:t>
      </w:r>
      <w:r>
        <w:t>，而目前一般工业用滤纸</w:t>
      </w:r>
      <w:proofErr w:type="gramStart"/>
      <w:r>
        <w:t>的滤度为</w:t>
      </w:r>
      <w:proofErr w:type="gramEnd"/>
      <w:r>
        <w:t>20000</w:t>
      </w:r>
      <w:r>
        <w:t>～</w:t>
      </w:r>
      <w:r>
        <w:t>30000nm</w:t>
      </w:r>
      <w:r>
        <w:t>，最精密的</w:t>
      </w:r>
      <w:proofErr w:type="gramStart"/>
      <w:r>
        <w:t>滤件其滤度</w:t>
      </w:r>
      <w:proofErr w:type="gramEnd"/>
      <w:r>
        <w:t>约为</w:t>
      </w:r>
      <w:r>
        <w:t>500nm</w:t>
      </w:r>
      <w:r>
        <w:t>，因此，上述微粒物质需用吸附剂吸附除去。由于</w:t>
      </w:r>
      <w:r>
        <w:t>XDK</w:t>
      </w:r>
      <w:r>
        <w:t>系列吸附剂平均孔径达到</w:t>
      </w:r>
      <w:r>
        <w:t>10</w:t>
      </w:r>
      <w:r>
        <w:t>～</w:t>
      </w:r>
      <w:r>
        <w:t>15nm</w:t>
      </w:r>
      <w:r>
        <w:t>（有</w:t>
      </w:r>
      <w:r>
        <w:t>10</w:t>
      </w:r>
      <w:r>
        <w:t>％的孔径在</w:t>
      </w:r>
      <w:r>
        <w:t>50nm</w:t>
      </w:r>
      <w:r>
        <w:t>以上），</w:t>
      </w:r>
      <w:proofErr w:type="gramStart"/>
      <w:r>
        <w:t>比粗孔硅胶</w:t>
      </w:r>
      <w:proofErr w:type="gramEnd"/>
      <w:r>
        <w:t>的孔径还要大，特别利于油中大线径杂质的内扩散，保证了吸附作用在内孔表面发生，使吸附潜能充分发挥。</w:t>
      </w:r>
    </w:p>
    <w:p w:rsidR="004A3EE5" w:rsidRDefault="004A3EE5" w:rsidP="004A3EE5">
      <w:pPr>
        <w:ind w:firstLineChars="200" w:firstLine="420"/>
      </w:pPr>
      <w:r>
        <w:t>对比实例：荆州供电局某</w:t>
      </w:r>
      <w:r>
        <w:t>220kv</w:t>
      </w:r>
      <w:r>
        <w:t>主变</w:t>
      </w:r>
      <w:r>
        <w:t>40</w:t>
      </w:r>
      <w:r>
        <w:t>吨油中金属微粒（铜、铁）含量为</w:t>
      </w:r>
      <w:r>
        <w:t>1.25μg/g</w:t>
      </w:r>
      <w:r>
        <w:t>，油</w:t>
      </w:r>
      <w:proofErr w:type="gramStart"/>
      <w:r>
        <w:t>介</w:t>
      </w:r>
      <w:proofErr w:type="gramEnd"/>
      <w:r>
        <w:t>损</w:t>
      </w:r>
      <w:r>
        <w:t>1.93%</w:t>
      </w:r>
      <w:r>
        <w:t>，该局采用本公司生产的</w:t>
      </w:r>
      <w:r>
        <w:t>XDK2</w:t>
      </w:r>
      <w:r>
        <w:t>型吸附剂</w:t>
      </w:r>
      <w:r>
        <w:t>2</w:t>
      </w:r>
      <w:r>
        <w:t>％进行吸附处理，经</w:t>
      </w:r>
      <w:r>
        <w:t>96</w:t>
      </w:r>
      <w:r>
        <w:t>小时后，油中铜、铁含量降至</w:t>
      </w:r>
      <w:r>
        <w:t>0</w:t>
      </w:r>
      <w:r>
        <w:rPr>
          <w:rFonts w:hint="eastAsia"/>
        </w:rPr>
        <w:t>.</w:t>
      </w:r>
      <w:r>
        <w:t>137μg/g</w:t>
      </w:r>
      <w:r>
        <w:t>，油</w:t>
      </w:r>
      <w:proofErr w:type="gramStart"/>
      <w:r>
        <w:t>介</w:t>
      </w:r>
      <w:proofErr w:type="gramEnd"/>
      <w:r>
        <w:t>损</w:t>
      </w:r>
      <w:r>
        <w:t>0</w:t>
      </w:r>
      <w:r>
        <w:rPr>
          <w:rFonts w:hint="eastAsia"/>
        </w:rPr>
        <w:t>.</w:t>
      </w:r>
      <w:r>
        <w:t>08</w:t>
      </w:r>
      <w:r>
        <w:rPr>
          <w:rFonts w:hint="eastAsia"/>
        </w:rPr>
        <w:t>%</w:t>
      </w:r>
      <w:r>
        <w:t>。</w:t>
      </w:r>
    </w:p>
    <w:p w:rsidR="004A3EE5" w:rsidRDefault="004A3EE5" w:rsidP="004A3EE5">
      <w:r>
        <w:t>3</w:t>
      </w:r>
      <w:r>
        <w:t>）吸附容量很大</w:t>
      </w:r>
    </w:p>
    <w:p w:rsidR="004A3EE5" w:rsidRDefault="004A3EE5" w:rsidP="004A3EE5">
      <w:pPr>
        <w:ind w:firstLineChars="200" w:firstLine="420"/>
      </w:pPr>
      <w:r>
        <w:lastRenderedPageBreak/>
        <w:t>吸附容量表征吸附剂净化油的能力大小。通常用</w:t>
      </w:r>
      <w:r>
        <w:t>1</w:t>
      </w:r>
      <w:r>
        <w:t>克吸附剂所能吸附相当于多少毫克氢氧化钾的酸性物质来表示，单位</w:t>
      </w:r>
      <w:proofErr w:type="spellStart"/>
      <w:r>
        <w:t>mgKOH</w:t>
      </w:r>
      <w:proofErr w:type="spellEnd"/>
      <w:r>
        <w:t>/g</w:t>
      </w:r>
      <w:r>
        <w:t>。根据有关资料，特将</w:t>
      </w:r>
      <w:r>
        <w:t>XDK</w:t>
      </w:r>
      <w:r>
        <w:t>和其他一些吸附剂的吸附容量摘录排序如下：</w:t>
      </w:r>
    </w:p>
    <w:p w:rsidR="004A3EE5" w:rsidRDefault="004A3EE5" w:rsidP="004A3EE5">
      <w:pPr>
        <w:ind w:firstLineChars="200" w:firstLine="420"/>
      </w:pPr>
      <w:r>
        <w:t>801                          4·553mgKOH/g</w:t>
      </w:r>
    </w:p>
    <w:p w:rsidR="004A3EE5" w:rsidRDefault="004A3EE5" w:rsidP="004A3EE5">
      <w:pPr>
        <w:ind w:firstLineChars="200" w:firstLine="420"/>
      </w:pPr>
      <w:r>
        <w:t xml:space="preserve">XDK                        </w:t>
      </w:r>
      <w:r>
        <w:rPr>
          <w:rFonts w:hint="eastAsia"/>
        </w:rPr>
        <w:t xml:space="preserve"> </w:t>
      </w:r>
      <w:r>
        <w:t>4·445mgKOH/g</w:t>
      </w:r>
    </w:p>
    <w:p w:rsidR="004A3EE5" w:rsidRDefault="004A3EE5" w:rsidP="004A3EE5">
      <w:pPr>
        <w:ind w:firstLineChars="200" w:firstLine="420"/>
      </w:pPr>
      <w:r>
        <w:t>高效吸附粉</w:t>
      </w:r>
      <w:r>
        <w:t xml:space="preserve">                   2·206mgKOH/g</w:t>
      </w:r>
    </w:p>
    <w:p w:rsidR="004A3EE5" w:rsidRDefault="004A3EE5" w:rsidP="004A3EE5">
      <w:pPr>
        <w:ind w:firstLineChars="200" w:firstLine="420"/>
      </w:pPr>
      <w:r>
        <w:t>活性氧化铝</w:t>
      </w:r>
      <w:r>
        <w:t xml:space="preserve">                   2·563mgKOH/g</w:t>
      </w:r>
    </w:p>
    <w:p w:rsidR="004A3EE5" w:rsidRDefault="004A3EE5" w:rsidP="004A3EE5">
      <w:pPr>
        <w:ind w:firstLineChars="200" w:firstLine="420"/>
      </w:pPr>
      <w:r>
        <w:t>硅</w:t>
      </w:r>
      <w:r>
        <w:t xml:space="preserve">      </w:t>
      </w:r>
      <w:r>
        <w:t>胶</w:t>
      </w:r>
      <w:r>
        <w:t xml:space="preserve">                   0·625mgKOH/g</w:t>
      </w:r>
    </w:p>
    <w:p w:rsidR="004A3EE5" w:rsidRDefault="004A3EE5" w:rsidP="004A3EE5">
      <w:pPr>
        <w:ind w:firstLineChars="200" w:firstLine="420"/>
      </w:pPr>
      <w:r>
        <w:t>活性白土</w:t>
      </w:r>
      <w:r>
        <w:t xml:space="preserve">                     0·467MmgOH/g</w:t>
      </w:r>
    </w:p>
    <w:p w:rsidR="004A3EE5" w:rsidRDefault="004A3EE5" w:rsidP="004A3EE5">
      <w:pPr>
        <w:ind w:firstLineChars="200" w:firstLine="420"/>
      </w:pPr>
      <w:r>
        <w:t>从</w:t>
      </w:r>
      <w:r>
        <w:rPr>
          <w:rFonts w:hint="eastAsia"/>
        </w:rPr>
        <w:t>以上</w:t>
      </w:r>
      <w:r>
        <w:t>数据看，</w:t>
      </w:r>
      <w:r>
        <w:t>1</w:t>
      </w:r>
      <w:r>
        <w:t>％的</w:t>
      </w:r>
      <w:r>
        <w:t>XDK</w:t>
      </w:r>
      <w:r>
        <w:t>相当于</w:t>
      </w:r>
      <w:r>
        <w:t>9</w:t>
      </w:r>
      <w:r>
        <w:t>％的白土之吸附能力</w:t>
      </w:r>
      <w:r>
        <w:rPr>
          <w:rFonts w:hint="eastAsia"/>
        </w:rPr>
        <w:t>，</w:t>
      </w:r>
      <w:r>
        <w:t>具有投料少，效率高的特点。</w:t>
      </w:r>
    </w:p>
    <w:p w:rsidR="004A3EE5" w:rsidRDefault="004A3EE5" w:rsidP="004A3EE5">
      <w:r>
        <w:t>4</w:t>
      </w:r>
      <w:r>
        <w:t>）具有现场连续再生的工艺性</w:t>
      </w:r>
    </w:p>
    <w:p w:rsidR="004A3EE5" w:rsidRDefault="004A3EE5" w:rsidP="004A3EE5">
      <w:pPr>
        <w:ind w:firstLineChars="200" w:firstLine="420"/>
      </w:pPr>
      <w:r>
        <w:t>XDK</w:t>
      </w:r>
      <w:r>
        <w:t>系列吸附剂是块状粒剂，有一定的机械强度，既适用于接触法，更适用于压力渗滤法。用于接触法时，可直接</w:t>
      </w:r>
      <w:proofErr w:type="gramStart"/>
      <w:r>
        <w:t>将粒剂</w:t>
      </w:r>
      <w:proofErr w:type="gramEnd"/>
      <w:r>
        <w:t>置于油罐中加热搅拌。和粉状吸附剂</w:t>
      </w:r>
      <w:r>
        <w:t>801</w:t>
      </w:r>
      <w:r>
        <w:t>或白土相仿，工艺流程是：</w:t>
      </w:r>
    </w:p>
    <w:p w:rsidR="004A3EE5" w:rsidRDefault="004A3EE5" w:rsidP="004A3EE5">
      <w:r>
        <w:t xml:space="preserve">    </w:t>
      </w:r>
      <w:r>
        <w:t>被净化油的前处理</w:t>
      </w:r>
      <w:r>
        <w:t>→</w:t>
      </w:r>
      <w:r>
        <w:t>预热升温</w:t>
      </w:r>
      <w:r>
        <w:t>→</w:t>
      </w:r>
      <w:r>
        <w:t>搅拌罐吸附</w:t>
      </w:r>
      <w:r>
        <w:t>→</w:t>
      </w:r>
      <w:r>
        <w:t>固液分离</w:t>
      </w:r>
      <w:r>
        <w:t>→</w:t>
      </w:r>
      <w:r>
        <w:t>后处理（</w:t>
      </w:r>
      <w:proofErr w:type="gramStart"/>
      <w:r>
        <w:t>除细微粒</w:t>
      </w:r>
      <w:proofErr w:type="gramEnd"/>
      <w:r>
        <w:t>等）。</w:t>
      </w:r>
    </w:p>
    <w:p w:rsidR="004A3EE5" w:rsidRDefault="004A3EE5" w:rsidP="004A3EE5">
      <w:r>
        <w:t xml:space="preserve">    </w:t>
      </w:r>
      <w:r>
        <w:t>用于压力渗滤法时，以一级或二级吸附</w:t>
      </w:r>
      <w:proofErr w:type="gramStart"/>
      <w:r>
        <w:t>柱方式接入油</w:t>
      </w:r>
      <w:proofErr w:type="gramEnd"/>
      <w:r>
        <w:t>处理系统，采用封闭强迫油循环吸附，能收到连续稳定、快速的处理效果。生产效率高，适用于变电站现场处理，也可用于修造工场集中废油污油再生处理。其工艺流程是：</w:t>
      </w:r>
    </w:p>
    <w:p w:rsidR="004A3EE5" w:rsidRDefault="004A3EE5" w:rsidP="004A3EE5">
      <w:r>
        <w:t xml:space="preserve">    </w:t>
      </w:r>
      <w:r>
        <w:t>被净化油的前处理</w:t>
      </w:r>
      <w:r>
        <w:t>→</w:t>
      </w:r>
      <w:r>
        <w:t>预热升温</w:t>
      </w:r>
      <w:r>
        <w:t>→</w:t>
      </w:r>
      <w:r>
        <w:t>一级或二级吸附处理</w:t>
      </w:r>
      <w:r>
        <w:t>→</w:t>
      </w:r>
      <w:r>
        <w:t>后处理（精滤脱气脱水）。</w:t>
      </w:r>
    </w:p>
    <w:p w:rsidR="004A3EE5" w:rsidRDefault="004A3EE5" w:rsidP="004A3EE5">
      <w:r>
        <w:t xml:space="preserve">    </w:t>
      </w:r>
      <w:r>
        <w:t>注意：前处理－若油中有油泥，大量杂质和乳化水或沉积水应设法事先滤除，避免再生时，吸附剂</w:t>
      </w:r>
      <w:r>
        <w:t>“</w:t>
      </w:r>
      <w:r>
        <w:t>中毒</w:t>
      </w:r>
      <w:r>
        <w:t>”</w:t>
      </w:r>
      <w:r>
        <w:t>而影响处理效果。</w:t>
      </w:r>
    </w:p>
    <w:p w:rsidR="004A3EE5" w:rsidRDefault="004A3EE5" w:rsidP="004A3EE5">
      <w:r>
        <w:t xml:space="preserve">    </w:t>
      </w:r>
      <w:r>
        <w:t>由于</w:t>
      </w:r>
      <w:r>
        <w:t>XDK</w:t>
      </w:r>
      <w:r>
        <w:t>吸附剂具备上述多项优点，受到全国电力系统发供电单位采用和好评。</w:t>
      </w:r>
    </w:p>
    <w:p w:rsidR="004A3EE5" w:rsidRDefault="004A3EE5" w:rsidP="004A3EE5">
      <w:r>
        <w:t xml:space="preserve">    </w:t>
      </w:r>
      <w:r>
        <w:t>对比实例（经第三方验证）：</w:t>
      </w:r>
    </w:p>
    <w:p w:rsidR="004A3EE5" w:rsidRDefault="004A3EE5" w:rsidP="004A3EE5">
      <w:r>
        <w:t xml:space="preserve">    </w:t>
      </w:r>
      <w:r>
        <w:t>广东大亚湾核电站＃</w:t>
      </w:r>
      <w:r>
        <w:t>1</w:t>
      </w:r>
      <w:r>
        <w:t>主变油质劣化，油</w:t>
      </w:r>
      <w:proofErr w:type="gramStart"/>
      <w:r>
        <w:t>介</w:t>
      </w:r>
      <w:proofErr w:type="gramEnd"/>
      <w:r>
        <w:t>损高达</w:t>
      </w:r>
      <w:r>
        <w:t>21·0</w:t>
      </w:r>
      <w:r>
        <w:t>％，油颜色</w:t>
      </w:r>
      <w:r>
        <w:t>14</w:t>
      </w:r>
      <w:r>
        <w:t>号，我公司用</w:t>
      </w:r>
      <w:r>
        <w:t>XDK</w:t>
      </w:r>
      <w:r>
        <w:t>吸附再生处理，</w:t>
      </w:r>
      <w:r>
        <w:t>270</w:t>
      </w:r>
      <w:r>
        <w:t>吨油</w:t>
      </w:r>
      <w:r>
        <w:t>312</w:t>
      </w:r>
      <w:r>
        <w:t>小时，油</w:t>
      </w:r>
      <w:proofErr w:type="gramStart"/>
      <w:r>
        <w:t>介</w:t>
      </w:r>
      <w:proofErr w:type="gramEnd"/>
      <w:r>
        <w:t>损降至</w:t>
      </w:r>
      <w:r>
        <w:t>1·06</w:t>
      </w:r>
      <w:r>
        <w:t>％，颜色降到</w:t>
      </w:r>
      <w:r>
        <w:t>8</w:t>
      </w:r>
      <w:r>
        <w:t>号。</w:t>
      </w:r>
    </w:p>
    <w:p w:rsidR="004A3EE5" w:rsidRDefault="004A3EE5" w:rsidP="004A3EE5">
      <w:pPr>
        <w:ind w:firstLine="420"/>
      </w:pPr>
      <w:r>
        <w:t>广东大亚湾核电站＃</w:t>
      </w:r>
      <w:r>
        <w:t>2</w:t>
      </w:r>
      <w:r>
        <w:t>主变油质劣化，油</w:t>
      </w:r>
      <w:proofErr w:type="gramStart"/>
      <w:r>
        <w:t>介</w:t>
      </w:r>
      <w:proofErr w:type="gramEnd"/>
      <w:r>
        <w:t>损</w:t>
      </w:r>
      <w:r>
        <w:t>11</w:t>
      </w:r>
      <w:r>
        <w:t>％，某单位用活性白土再生处理，</w:t>
      </w:r>
      <w:r>
        <w:t>270</w:t>
      </w:r>
      <w:r>
        <w:t>吨油</w:t>
      </w:r>
      <w:r>
        <w:t>504</w:t>
      </w:r>
      <w:r>
        <w:t>小时，油</w:t>
      </w:r>
      <w:proofErr w:type="gramStart"/>
      <w:r>
        <w:t>介</w:t>
      </w:r>
      <w:proofErr w:type="gramEnd"/>
      <w:r>
        <w:t>损降到</w:t>
      </w:r>
      <w:r>
        <w:t>0·5</w:t>
      </w:r>
      <w:r>
        <w:t>％，颜色暗红变化不大。</w:t>
      </w:r>
    </w:p>
    <w:p w:rsidR="004A3EE5" w:rsidRDefault="004A3EE5" w:rsidP="004A3EE5">
      <w:pPr>
        <w:ind w:firstLine="420"/>
      </w:pPr>
    </w:p>
    <w:p w:rsidR="004A3EE5" w:rsidRDefault="004A3EE5" w:rsidP="004A3EE5">
      <w:pPr>
        <w:ind w:firstLineChars="200" w:firstLine="420"/>
      </w:pPr>
      <w:r>
        <w:rPr>
          <w:rFonts w:hint="eastAsia"/>
        </w:rPr>
        <w:t>众</w:t>
      </w:r>
      <w:r>
        <w:t>多实例说明</w:t>
      </w:r>
      <w:r>
        <w:t>XDK</w:t>
      </w:r>
      <w:r>
        <w:t>的确具备新型高效的特性，失效的矿物油可以采用</w:t>
      </w:r>
      <w:r>
        <w:rPr>
          <w:rFonts w:hint="eastAsia"/>
        </w:rPr>
        <w:t>此</w:t>
      </w:r>
      <w:r>
        <w:t>吸附</w:t>
      </w:r>
      <w:r>
        <w:rPr>
          <w:rFonts w:hint="eastAsia"/>
        </w:rPr>
        <w:t>剂进行</w:t>
      </w:r>
      <w:r>
        <w:t>再生利用</w:t>
      </w:r>
      <w:r>
        <w:rPr>
          <w:rFonts w:hint="eastAsia"/>
        </w:rPr>
        <w:t>。不过</w:t>
      </w:r>
      <w:r>
        <w:t>按照目前</w:t>
      </w:r>
      <w:r>
        <w:t>XDK</w:t>
      </w:r>
      <w:r>
        <w:t>吸附剂售价约</w:t>
      </w:r>
      <w:r>
        <w:t>8</w:t>
      </w:r>
      <w:r>
        <w:t>万左右一吨，</w:t>
      </w:r>
      <w:r>
        <w:t>5%</w:t>
      </w:r>
      <w:r>
        <w:t>的吸附剂</w:t>
      </w:r>
      <w:r>
        <w:t>4000</w:t>
      </w:r>
      <w:r>
        <w:t>元，合格矿物油</w:t>
      </w:r>
      <w:r>
        <w:t>4000</w:t>
      </w:r>
      <w:r>
        <w:t>到</w:t>
      </w:r>
      <w:r>
        <w:t>5000</w:t>
      </w:r>
      <w:r>
        <w:t>元，因此建议</w:t>
      </w:r>
      <w:r>
        <w:rPr>
          <w:rFonts w:hint="eastAsia"/>
        </w:rPr>
        <w:t>再生处理时</w:t>
      </w:r>
      <w:r>
        <w:t>XDK</w:t>
      </w:r>
      <w:r>
        <w:t>吸附剂总用量不超过</w:t>
      </w:r>
      <w:r>
        <w:t>5%</w:t>
      </w:r>
      <w:r>
        <w:t>，否则处理就没有性价比，不如直接报废。</w:t>
      </w:r>
      <w:r>
        <w:t xml:space="preserve"> </w:t>
      </w:r>
    </w:p>
    <w:p w:rsidR="002D2CA9" w:rsidRPr="004A3EE5" w:rsidRDefault="002D2CA9">
      <w:bookmarkStart w:id="67" w:name="_GoBack"/>
      <w:bookmarkEnd w:id="67"/>
    </w:p>
    <w:sectPr w:rsidR="002D2CA9" w:rsidRPr="004A3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2" w:rsidRDefault="00483222" w:rsidP="004A3EE5">
      <w:r>
        <w:separator/>
      </w:r>
    </w:p>
  </w:endnote>
  <w:endnote w:type="continuationSeparator" w:id="0">
    <w:p w:rsidR="00483222" w:rsidRDefault="00483222" w:rsidP="004A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E5" w:rsidRDefault="004A3EE5">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E5" w:rsidRDefault="004A3EE5">
    <w:pPr>
      <w:pStyle w:val="a5"/>
    </w:pPr>
    <w:r>
      <w:rPr>
        <w:noProof/>
      </w:rPr>
      <mc:AlternateContent>
        <mc:Choice Requires="wps">
          <w:drawing>
            <wp:anchor distT="0" distB="0" distL="114300" distR="114300" simplePos="0" relativeHeight="251659264" behindDoc="0" locked="0" layoutInCell="1" allowOverlap="1" wp14:anchorId="1E1E6E8B" wp14:editId="10839594">
              <wp:simplePos x="0" y="0"/>
              <wp:positionH relativeFrom="margin">
                <wp:align>right</wp:align>
              </wp:positionH>
              <wp:positionV relativeFrom="paragraph">
                <wp:posOffset>13970</wp:posOffset>
              </wp:positionV>
              <wp:extent cx="105410" cy="137160"/>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37160"/>
                      </a:xfrm>
                      <a:prstGeom prst="rect">
                        <a:avLst/>
                      </a:prstGeom>
                      <a:noFill/>
                      <a:ln>
                        <a:noFill/>
                      </a:ln>
                    </wps:spPr>
                    <wps:txbx>
                      <w:txbxContent>
                        <w:p w:rsidR="004A3EE5" w:rsidRDefault="004A3EE5">
                          <w:pPr>
                            <w:pStyle w:val="a5"/>
                          </w:pPr>
                          <w:r>
                            <w:fldChar w:fldCharType="begin"/>
                          </w:r>
                          <w:r>
                            <w:instrText>PAGE   \* MERGEFORMAT</w:instrText>
                          </w:r>
                          <w:r>
                            <w:fldChar w:fldCharType="separate"/>
                          </w:r>
                          <w:r w:rsidRPr="004A3EE5">
                            <w:rPr>
                              <w:noProof/>
                              <w:lang w:val="zh-CN"/>
                            </w:rPr>
                            <w:t>5</w:t>
                          </w:r>
                          <w:r>
                            <w:fldChar w:fldCharType="end"/>
                          </w:r>
                        </w:p>
                      </w:txbxContent>
                    </wps:txbx>
                    <wps:bodyPr rot="0" vert="horz" wrap="square" lIns="0" tIns="0" rIns="0" bIns="0" anchor="t" anchorCtr="0" upright="1">
                      <a:noAutofit/>
                    </wps:bodyPr>
                  </wps:wsp>
                </a:graphicData>
              </a:graphic>
            </wp:anchor>
          </w:drawing>
        </mc:Choice>
        <mc:Fallback>
          <w:pict>
            <v:shapetype w14:anchorId="1E1E6E8B" id="_x0000_t202" coordsize="21600,21600" o:spt="202" path="m,l,21600r21600,l21600,xe">
              <v:stroke joinstyle="miter"/>
              <v:path gradientshapeok="t" o:connecttype="rect"/>
            </v:shapetype>
            <v:shape id="文本框 5" o:spid="_x0000_s1026" type="#_x0000_t202" style="position:absolute;margin-left:-42.9pt;margin-top:1.1pt;width:8.3pt;height:10.8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Lm9gEAALYDAAAOAAAAZHJzL2Uyb0RvYy54bWysU81u1DAQviPxDpbvbJJCSxVttiqtipDK&#10;j1R4gFnH2VgkHjP2brI8ALwBJy7cea59jo6d3aXADXGxJp7xN9/3zWR+Mfad2GjyBm0li1kuhbYK&#10;a2NXlfzw/ubJuRQ+gK2hQ6srudVeXiweP5oPrtQn2GJXaxIMYn05uEq2Ibgyy7xqdQ9+hk5bTjZI&#10;PQT+pFVWEwyM3nfZSZ6fZQNS7QiV9p5vr6ekXCT8ptEqvG0ar4PoKsncQjopnct4Zos5lCsC1xq1&#10;pwH/wKIHY7npEeoaAog1mb+geqMIPTZhprDPsGmM0kkDqynyP9TcteB00sLmeHe0yf8/WPVm846E&#10;qXl2UljoeUS7b19333/ufnwRp9GewfmSq+4c14XxBY6xNEr17hbVRy8sXrVgV/qSCIdWQ830ivgy&#10;e/B0wvERZDm8xpr7wDpgAhob6iMguyEYnce0PY5Gj0Go2DI/fVZwRnGqePq8OEujy6A8PHbkw0uN&#10;vYhBJYknn8Bhc+tDJAPloST2snhjui5Nv7O/XXBhvEnkI9+JeRiX496MJdZblkE4LRMvPwct0mcp&#10;Bl6kSvpPayAtRffKshVx6w4BHYLlIQCr+GklgxRTeBWm7Vw7MquWkSezLV6yXY1JUqKvE4s9T16O&#10;pHC/yHH7Hn6nql+/2+IeAAD//wMAUEsDBBQABgAIAAAAIQBMiN8W2gAAAAQBAAAPAAAAZHJzL2Rv&#10;d25yZXYueG1sTI/BTsMwEETvSP0Ha5F6ow6pFJWQTVVVcEJCpOHA0Ym3idV4HWK3DX+Pe4LjaEYz&#10;b4rtbAdxockbxwiPqwQEceu04Q7hs3592IDwQbFWg2NC+CEP23JxV6hcuytXdDmETsQS9rlC6EMY&#10;cyl925NVfuVG4ugd3WRViHLqpJ7UNZbbQaZJkkmrDMeFXo2076k9Hc4WYffF1Yv5fm8+qmNl6vop&#10;4bfshLi8n3fPIALN4S8MN/yIDmVkatyZtRcDQjwSENIUxM3MMhBNlOsNyLKQ/+HLXwAAAP//AwBQ&#10;SwECLQAUAAYACAAAACEAtoM4kv4AAADhAQAAEwAAAAAAAAAAAAAAAAAAAAAAW0NvbnRlbnRfVHlw&#10;ZXNdLnhtbFBLAQItABQABgAIAAAAIQA4/SH/1gAAAJQBAAALAAAAAAAAAAAAAAAAAC8BAABfcmVs&#10;cy8ucmVsc1BLAQItABQABgAIAAAAIQAF2lLm9gEAALYDAAAOAAAAAAAAAAAAAAAAAC4CAABkcnMv&#10;ZTJvRG9jLnhtbFBLAQItABQABgAIAAAAIQBMiN8W2gAAAAQBAAAPAAAAAAAAAAAAAAAAAFAEAABk&#10;cnMvZG93bnJldi54bWxQSwUGAAAAAAQABADzAAAAVwUAAAAA&#10;" filled="f" stroked="f">
              <v:textbox inset="0,0,0,0">
                <w:txbxContent>
                  <w:p w:rsidR="004A3EE5" w:rsidRDefault="004A3EE5">
                    <w:pPr>
                      <w:pStyle w:val="a5"/>
                    </w:pPr>
                    <w:r>
                      <w:fldChar w:fldCharType="begin"/>
                    </w:r>
                    <w:r>
                      <w:instrText>PAGE   \* MERGEFORMAT</w:instrText>
                    </w:r>
                    <w:r>
                      <w:fldChar w:fldCharType="separate"/>
                    </w:r>
                    <w:r w:rsidRPr="004A3EE5">
                      <w:rPr>
                        <w:noProof/>
                        <w:lang w:val="zh-CN"/>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2" w:rsidRDefault="00483222" w:rsidP="004A3EE5">
      <w:r>
        <w:separator/>
      </w:r>
    </w:p>
  </w:footnote>
  <w:footnote w:type="continuationSeparator" w:id="0">
    <w:p w:rsidR="00483222" w:rsidRDefault="00483222" w:rsidP="004A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E5" w:rsidRDefault="004A3EE5">
    <w:pPr>
      <w:pStyle w:val="a8"/>
      <w:spacing w:before="120" w:after="120"/>
      <w:jc w:val="both"/>
    </w:pPr>
    <w:r>
      <w:t>Q/</w:t>
    </w:r>
    <w:r>
      <w:rPr>
        <w:rFonts w:hint="eastAsia"/>
      </w:rPr>
      <w:t>GDW</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E5" w:rsidRDefault="004A3EE5">
    <w:pPr>
      <w:pStyle w:val="a8"/>
      <w:wordWrap w:val="0"/>
    </w:pPr>
    <w:r>
      <w:rPr>
        <w:rFonts w:hint="eastAsia"/>
      </w:rPr>
      <w:t>T</w:t>
    </w:r>
    <w:r>
      <w:t>/</w:t>
    </w:r>
    <w:r>
      <w:rPr>
        <w:rFonts w:hint="eastAsia"/>
      </w:rPr>
      <w:t>CSEE</w:t>
    </w:r>
    <w:r>
      <w:rPr>
        <w:rFonts w:hAnsi="黑体" w:hint="eastAsia"/>
      </w:rPr>
      <w:t xml:space="preserve"> XXXX-YYYY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7D"/>
    <w:rsid w:val="000D6B7D"/>
    <w:rsid w:val="002D2CA9"/>
    <w:rsid w:val="00483222"/>
    <w:rsid w:val="004A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AB84CD-2988-4284-B3FA-005459E6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E5"/>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4A3EE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E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3EE5"/>
    <w:rPr>
      <w:sz w:val="18"/>
      <w:szCs w:val="18"/>
    </w:rPr>
  </w:style>
  <w:style w:type="paragraph" w:styleId="a5">
    <w:name w:val="footer"/>
    <w:basedOn w:val="a"/>
    <w:link w:val="a6"/>
    <w:uiPriority w:val="99"/>
    <w:unhideWhenUsed/>
    <w:qFormat/>
    <w:rsid w:val="004A3E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A3EE5"/>
    <w:rPr>
      <w:sz w:val="18"/>
      <w:szCs w:val="18"/>
    </w:rPr>
  </w:style>
  <w:style w:type="paragraph" w:styleId="11">
    <w:name w:val="toc 1"/>
    <w:basedOn w:val="a"/>
    <w:next w:val="a"/>
    <w:uiPriority w:val="39"/>
    <w:qFormat/>
    <w:rsid w:val="004A3EE5"/>
    <w:pPr>
      <w:tabs>
        <w:tab w:val="right" w:leader="dot" w:pos="9241"/>
      </w:tabs>
      <w:spacing w:beforeLines="25" w:afterLines="25"/>
      <w:jc w:val="left"/>
    </w:pPr>
    <w:rPr>
      <w:rFonts w:ascii="宋体"/>
      <w:szCs w:val="21"/>
    </w:rPr>
  </w:style>
  <w:style w:type="character" w:customStyle="1" w:styleId="Char">
    <w:name w:val="段 Char"/>
    <w:link w:val="a7"/>
    <w:qFormat/>
    <w:rsid w:val="004A3EE5"/>
    <w:rPr>
      <w:rFonts w:ascii="宋体"/>
    </w:rPr>
  </w:style>
  <w:style w:type="paragraph" w:customStyle="1" w:styleId="a7">
    <w:name w:val="段"/>
    <w:link w:val="Char"/>
    <w:qFormat/>
    <w:rsid w:val="004A3EE5"/>
    <w:pPr>
      <w:tabs>
        <w:tab w:val="center" w:pos="4201"/>
        <w:tab w:val="right" w:leader="dot" w:pos="9298"/>
      </w:tabs>
      <w:autoSpaceDE w:val="0"/>
      <w:autoSpaceDN w:val="0"/>
      <w:ind w:firstLineChars="200" w:firstLine="420"/>
      <w:jc w:val="both"/>
    </w:pPr>
    <w:rPr>
      <w:rFonts w:ascii="宋体"/>
    </w:rPr>
  </w:style>
  <w:style w:type="paragraph" w:customStyle="1" w:styleId="a8">
    <w:name w:val="标准书眉_奇数页"/>
    <w:next w:val="a"/>
    <w:qFormat/>
    <w:rsid w:val="004A3EE5"/>
    <w:pPr>
      <w:tabs>
        <w:tab w:val="center" w:pos="4154"/>
        <w:tab w:val="right" w:pos="8306"/>
      </w:tabs>
      <w:spacing w:after="220"/>
      <w:jc w:val="right"/>
    </w:pPr>
    <w:rPr>
      <w:rFonts w:ascii="黑体" w:eastAsia="黑体" w:hAnsi="Times New Roman" w:cs="Times New Roman"/>
      <w:kern w:val="0"/>
      <w:szCs w:val="21"/>
    </w:rPr>
  </w:style>
  <w:style w:type="paragraph" w:customStyle="1" w:styleId="a9">
    <w:name w:val="标准书脚_奇数页"/>
    <w:qFormat/>
    <w:rsid w:val="004A3EE5"/>
    <w:pPr>
      <w:spacing w:before="120"/>
      <w:ind w:right="198"/>
      <w:jc w:val="right"/>
    </w:pPr>
    <w:rPr>
      <w:rFonts w:ascii="宋体" w:eastAsia="宋体" w:hAnsi="Times New Roman" w:cs="Times New Roman"/>
      <w:kern w:val="0"/>
      <w:sz w:val="18"/>
      <w:szCs w:val="18"/>
    </w:rPr>
  </w:style>
  <w:style w:type="paragraph" w:customStyle="1" w:styleId="aa">
    <w:name w:val="章标题"/>
    <w:next w:val="a7"/>
    <w:qFormat/>
    <w:rsid w:val="004A3EE5"/>
    <w:pPr>
      <w:spacing w:beforeLines="100" w:afterLines="100"/>
      <w:ind w:left="426"/>
      <w:jc w:val="both"/>
      <w:outlineLvl w:val="1"/>
    </w:pPr>
    <w:rPr>
      <w:rFonts w:ascii="黑体" w:eastAsia="黑体" w:hAnsi="Times New Roman" w:cs="Times New Roman"/>
      <w:kern w:val="0"/>
      <w:szCs w:val="20"/>
    </w:rPr>
  </w:style>
  <w:style w:type="paragraph" w:customStyle="1" w:styleId="ab">
    <w:name w:val="附录章标题"/>
    <w:next w:val="a7"/>
    <w:qFormat/>
    <w:rsid w:val="004A3EE5"/>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12">
    <w:name w:val="样式 标题 1 + 非加粗"/>
    <w:basedOn w:val="1"/>
    <w:qFormat/>
    <w:rsid w:val="004A3EE5"/>
    <w:pPr>
      <w:spacing w:beforeLines="100" w:afterLines="100" w:line="240" w:lineRule="auto"/>
    </w:pPr>
    <w:rPr>
      <w:rFonts w:eastAsia="黑体"/>
      <w:b w:val="0"/>
      <w:bCs w:val="0"/>
      <w:sz w:val="21"/>
    </w:rPr>
  </w:style>
  <w:style w:type="paragraph" w:customStyle="1" w:styleId="13">
    <w:name w:val="列表段落1"/>
    <w:basedOn w:val="a"/>
    <w:autoRedefine/>
    <w:uiPriority w:val="34"/>
    <w:qFormat/>
    <w:rsid w:val="004A3EE5"/>
    <w:pPr>
      <w:ind w:firstLineChars="200" w:firstLine="420"/>
    </w:pPr>
  </w:style>
  <w:style w:type="character" w:customStyle="1" w:styleId="10">
    <w:name w:val="标题 1 字符"/>
    <w:basedOn w:val="a0"/>
    <w:link w:val="1"/>
    <w:uiPriority w:val="9"/>
    <w:rsid w:val="004A3EE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苏宇红</dc:creator>
  <cp:keywords/>
  <dc:description/>
  <cp:lastModifiedBy>苏宇红</cp:lastModifiedBy>
  <cp:revision>2</cp:revision>
  <dcterms:created xsi:type="dcterms:W3CDTF">2024-07-02T01:45:00Z</dcterms:created>
  <dcterms:modified xsi:type="dcterms:W3CDTF">2024-07-02T01:45:00Z</dcterms:modified>
</cp:coreProperties>
</file>