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1" w:lineRule="exact"/>
        <w:ind w:left="5460"/>
        <w:jc w:val="right"/>
        <w:rPr>
          <w:rFonts w:ascii="宋体" w:hAnsi="宋体" w:cs="宋体"/>
          <w:color w:val="auto"/>
          <w:szCs w:val="21"/>
          <w:highlight w:val="none"/>
        </w:rPr>
      </w:pPr>
      <w:r>
        <w:rPr>
          <w:rFonts w:ascii="宋体" w:hAnsi="宋体" w:cs="宋体"/>
          <w:color w:val="auto"/>
          <w:szCs w:val="21"/>
          <w:highlight w:val="none"/>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19050</wp:posOffset>
                </wp:positionV>
                <wp:extent cx="1800225" cy="720090"/>
                <wp:effectExtent l="0" t="0" r="0" b="0"/>
                <wp:wrapNone/>
                <wp:docPr id="13"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a:effectLst/>
                      </wps:spPr>
                      <wps:txbx>
                        <w:txbxContent>
                          <w:p>
                            <w:pPr>
                              <w:pStyle w:val="23"/>
                            </w:pPr>
                            <w:r>
                              <w:rPr>
                                <w:rFonts w:hint="eastAsia"/>
                              </w:rPr>
                              <w:t>I</w:t>
                            </w:r>
                            <w:r>
                              <w:t>CS 19.020</w:t>
                            </w:r>
                          </w:p>
                          <w:p>
                            <w:pPr>
                              <w:pStyle w:val="23"/>
                            </w:pPr>
                            <w:r>
                              <w:rPr>
                                <w:rFonts w:hint="eastAsia"/>
                              </w:rPr>
                              <w:t>C</w:t>
                            </w:r>
                            <w:r>
                              <w:t>CS K85</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2" o:spid="_x0000_s1026" o:spt="202" type="#_x0000_t202" style="position:absolute;left:0pt;margin-left:0pt;margin-top:1.5pt;height:56.7pt;width:141.75pt;z-index:251668480;mso-width-relative:page;mso-height-relative:page;" filled="f" stroked="f" coordsize="21600,21600" o:gfxdata="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M1Js1QAAAAYBAAAPAAAAAAAA&#10;AAEAIAAAACIAAABkcnMvZG93bnJldi54bWxQSwECFAAUAAAACACHTuJA4UXwE04CAABxBAAADgAA&#10;AAAAAAABACAAAAAkAQAAZHJzL2Uyb0RvYy54bWxQSwUGAAAAAAYABgBZAQAA5AUAAAAA&#10;">
                <v:fill on="f" focussize="0,0"/>
                <v:stroke on="f" weight="0.5pt"/>
                <v:imagedata o:title=""/>
                <o:lock v:ext="edit" aspectratio="f"/>
                <v:textbox inset="0mm,0mm,2.54mm,0mm" style="mso-fit-shape-to-text:t;">
                  <w:txbxContent>
                    <w:p>
                      <w:pPr>
                        <w:pStyle w:val="23"/>
                      </w:pPr>
                      <w:r>
                        <w:rPr>
                          <w:rFonts w:hint="eastAsia"/>
                        </w:rPr>
                        <w:t>I</w:t>
                      </w:r>
                      <w:r>
                        <w:t>CS 19.020</w:t>
                      </w:r>
                    </w:p>
                    <w:p>
                      <w:pPr>
                        <w:pStyle w:val="23"/>
                      </w:pPr>
                      <w:r>
                        <w:rPr>
                          <w:rFonts w:hint="eastAsia"/>
                        </w:rPr>
                        <w:t>C</w:t>
                      </w:r>
                      <w:r>
                        <w:t>CS K85</w:t>
                      </w:r>
                    </w:p>
                  </w:txbxContent>
                </v:textbox>
              </v:shape>
            </w:pict>
          </mc:Fallback>
        </mc:AlternateContent>
      </w:r>
    </w:p>
    <w:p>
      <w:pPr>
        <w:spacing w:line="20" w:lineRule="exact"/>
        <w:rPr>
          <w:rFonts w:ascii="宋体" w:hAnsi="宋体" w:cs="宋体"/>
          <w:color w:val="auto"/>
          <w:szCs w:val="21"/>
          <w:highlight w:val="none"/>
        </w:rPr>
      </w:pPr>
    </w:p>
    <w:p>
      <w:pPr>
        <w:spacing w:line="20" w:lineRule="exact"/>
        <w:rPr>
          <w:rFonts w:ascii="宋体" w:hAnsi="宋体" w:cs="宋体"/>
          <w:color w:val="auto"/>
          <w:szCs w:val="21"/>
          <w:highlight w:val="none"/>
        </w:rPr>
      </w:pPr>
    </w:p>
    <w:p>
      <w:pPr>
        <w:pStyle w:val="17"/>
        <w:rPr>
          <w:color w:val="auto"/>
          <w:highlight w:val="none"/>
        </w:rPr>
      </w:pPr>
      <w:bookmarkStart w:id="0" w:name="标准封面"/>
      <w:bookmarkEnd w:id="0"/>
      <w:r>
        <w:rPr>
          <w:rFonts w:ascii="Times New Roman"/>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-102870</wp:posOffset>
                </wp:positionH>
                <wp:positionV relativeFrom="paragraph">
                  <wp:posOffset>1011555</wp:posOffset>
                </wp:positionV>
                <wp:extent cx="6276340" cy="892175"/>
                <wp:effectExtent l="0" t="0" r="0" b="0"/>
                <wp:wrapSquare wrapText="bothSides"/>
                <wp:docPr id="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76340" cy="892175"/>
                        </a:xfrm>
                        <a:prstGeom prst="rect">
                          <a:avLst/>
                        </a:prstGeom>
                        <a:noFill/>
                        <a:ln w="9525">
                          <a:noFill/>
                          <a:miter lim="800000"/>
                        </a:ln>
                        <a:effectLst/>
                      </wps:spPr>
                      <wps:txbx>
                        <w:txbxContent>
                          <w:p>
                            <w:pPr>
                              <w:jc w:val="distribute"/>
                              <w:rPr>
                                <w:rFonts w:ascii="黑体" w:hAnsi="黑体" w:eastAsia="黑体"/>
                                <w:sz w:val="84"/>
                                <w:szCs w:val="84"/>
                              </w:rPr>
                            </w:pPr>
                            <w:r>
                              <w:rPr>
                                <w:rFonts w:hint="eastAsia" w:ascii="黑体" w:hAnsi="黑体" w:eastAsia="黑体"/>
                                <w:sz w:val="84"/>
                                <w:szCs w:val="84"/>
                              </w:rPr>
                              <w:t>团体标准</w:t>
                            </w:r>
                          </w:p>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8.1pt;margin-top:79.65pt;height:70.25pt;width:494.2pt;mso-wrap-distance-bottom:0pt;mso-wrap-distance-left:9pt;mso-wrap-distance-right:9pt;mso-wrap-distance-top:0pt;z-index:251666432;v-text-anchor:middle;mso-width-relative:page;mso-height-relative:page;" filled="f" stroked="f" coordsize="21600,21600" o:gfxdata="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483L9sAAAALAQAADwAAAAAAAAABACAAAAAiAAAAZHJzL2Rvd25yZXYueG1sUEsB&#10;AhQAFAAAAAgAh07iQH/CzE4rAgAAOgQAAA4AAAAAAAAAAQAgAAAAKgEAAGRycy9lMm9Eb2MueG1s&#10;UEsFBgAAAAAGAAYAWQEAAMcFAAAAAA==&#10;">
                <v:fill on="f" focussize="0,0"/>
                <v:stroke on="f" miterlimit="8" joinstyle="miter"/>
                <v:imagedata o:title=""/>
                <o:lock v:ext="edit" aspectratio="f"/>
                <v:textbox style="mso-fit-shape-to-text:t;">
                  <w:txbxContent>
                    <w:p>
                      <w:pPr>
                        <w:jc w:val="distribute"/>
                        <w:rPr>
                          <w:rFonts w:ascii="黑体" w:hAnsi="黑体" w:eastAsia="黑体"/>
                          <w:sz w:val="84"/>
                          <w:szCs w:val="84"/>
                        </w:rPr>
                      </w:pPr>
                      <w:r>
                        <w:rPr>
                          <w:rFonts w:hint="eastAsia" w:ascii="黑体" w:hAnsi="黑体" w:eastAsia="黑体"/>
                          <w:sz w:val="84"/>
                          <w:szCs w:val="84"/>
                        </w:rPr>
                        <w:t>团体标准</w:t>
                      </w:r>
                    </w:p>
                  </w:txbxContent>
                </v:textbox>
                <w10:wrap type="square"/>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page">
                  <wp:posOffset>4798060</wp:posOffset>
                </wp:positionH>
                <wp:positionV relativeFrom="page">
                  <wp:posOffset>9763125</wp:posOffset>
                </wp:positionV>
                <wp:extent cx="811530" cy="184150"/>
                <wp:effectExtent l="0" t="0" r="0" b="0"/>
                <wp:wrapNone/>
                <wp:docPr id="23" name="首页自画框图12"/>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a:effectLst/>
                      </wps:spPr>
                      <wps:txbx>
                        <w:txbxContent>
                          <w:p>
                            <w:pPr>
                              <w:pStyle w:val="24"/>
                            </w:pPr>
                            <w:r>
                              <w:rPr>
                                <w:rFonts w:hint="eastAsia"/>
                              </w:rPr>
                              <w:t>发 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2" o:spid="_x0000_s1026" o:spt="202" type="#_x0000_t202" style="position:absolute;left:0pt;margin-left:377.8pt;margin-top:768.75pt;height:14.5pt;width:63.9pt;mso-position-horizontal-relative:page;mso-position-vertical-relative:page;z-index:251665408;mso-width-relative:page;mso-height-relative:page;" filled="f" stroked="f" coordsize="21600,21600" o:gfxdata="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UaHczbAAAADQEAAA8AAAAA&#10;AAAAAQAgAAAAIgAAAGRycy9kb3ducmV2LnhtbFBLAQIUABQAAAAIAIdO4kAYjn07SgIAAG0EAAAO&#10;AAAAAAAAAAEAIAAAACoBAABkcnMvZTJvRG9jLnhtbFBLBQYAAAAABgAGAFkBAADmBQAAAAA=&#10;">
                <v:fill on="f" focussize="0,0"/>
                <v:stroke on="f" weight="0.5pt"/>
                <v:imagedata o:title=""/>
                <o:lock v:ext="edit" aspectratio="f"/>
                <v:textbox inset="0mm,0mm,0mm,0mm">
                  <w:txbxContent>
                    <w:p>
                      <w:pPr>
                        <w:pStyle w:val="24"/>
                      </w:pPr>
                      <w:r>
                        <w:rPr>
                          <w:rFonts w:hint="eastAsia"/>
                        </w:rPr>
                        <w:t>发 布</w:t>
                      </w:r>
                    </w:p>
                  </w:txbxContent>
                </v:textbox>
              </v:shape>
            </w:pict>
          </mc:Fallback>
        </mc:AlternateContent>
      </w: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2374900</wp:posOffset>
                </wp:positionV>
                <wp:extent cx="6120765" cy="0"/>
                <wp:effectExtent l="0" t="0" r="0" b="0"/>
                <wp:wrapNone/>
                <wp:docPr id="17"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首页自画框图6" o:spid="_x0000_s1026" o:spt="20" style="position:absolute;left:0pt;margin-left:0.05pt;margin-top:187pt;height:0pt;width:481.95pt;z-index:251660288;mso-width-relative:page;mso-height-relative:page;" filled="f" stroked="t" coordsize="21600,21600" o:gfxdata="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Sr6+HTAAAACAEAAA8AAAAAAAAAAQAgAAAAIgAAAGRycy9kb3ducmV2LnhtbFBLAQIUABQAAAAI&#10;AIdO4kATUrVS8gEAAMIDAAAOAAAAAAAAAAEAIAAAACIBAABkcnMvZTJvRG9jLnhtbFBLBQYAAAAA&#10;BgAGAFkBAACGBQAAAAA=&#10;">
                <v:fill on="f" focussize="0,0"/>
                <v:stroke weight="0.5pt" color="#000000" miterlimit="8" joinstyle="miter"/>
                <v:imagedata o:title=""/>
                <o:lock v:ext="edit" aspectratio="f"/>
              </v:lin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8927465</wp:posOffset>
                </wp:positionV>
                <wp:extent cx="6120765" cy="0"/>
                <wp:effectExtent l="0" t="0" r="0" b="0"/>
                <wp:wrapNone/>
                <wp:docPr id="21" name="首页自画框图10"/>
                <wp:cNvGraphicFramePr/>
                <a:graphic xmlns:a="http://schemas.openxmlformats.org/drawingml/2006/main">
                  <a:graphicData uri="http://schemas.microsoft.com/office/word/2010/wordprocessingShape">
                    <wps:wsp>
                      <wps:cNvCnPr/>
                      <wps:spPr>
                        <a:xfrm>
                          <a:off x="0" y="0"/>
                          <a:ext cx="612076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首页自画框图10" o:spid="_x0000_s1026" o:spt="20" style="position:absolute;left:0pt;margin-left:0.05pt;margin-top:702.95pt;height:0pt;width:481.95pt;z-index:251663360;mso-width-relative:page;mso-height-relative:page;" filled="f" stroked="t" coordsize="21600,21600" o:gfxdata="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M0YnDWAAAACgEAAA8AAAAAAAAAAQAgAAAAIgAAAGRycy9kb3ducmV2LnhtbFBLAQIUABQA&#10;AAAIAIdO4kB2yS2E8gEAAMMDAAAOAAAAAAAAAAEAIAAAACUBAABkcnMvZTJvRG9jLnhtbFBLBQYA&#10;AAAABgAGAFkBAACJBQAAAAA=&#10;">
                <v:fill on="f" focussize="0,0"/>
                <v:stroke weight="0.5pt" color="#000000" miterlimit="8" joinstyle="miter"/>
                <v:imagedata o:title=""/>
                <o:lock v:ext="edit" aspectratio="f"/>
              </v:lin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page">
                  <wp:posOffset>2130425</wp:posOffset>
                </wp:positionH>
                <wp:positionV relativeFrom="page">
                  <wp:posOffset>9737725</wp:posOffset>
                </wp:positionV>
                <wp:extent cx="2667635" cy="234950"/>
                <wp:effectExtent l="0" t="0" r="0" b="0"/>
                <wp:wrapNone/>
                <wp:docPr id="22" name="首页自画框图11"/>
                <wp:cNvGraphicFramePr/>
                <a:graphic xmlns:a="http://schemas.openxmlformats.org/drawingml/2006/main">
                  <a:graphicData uri="http://schemas.microsoft.com/office/word/2010/wordprocessingShape">
                    <wps:wsp>
                      <wps:cNvSpPr txBox="1"/>
                      <wps:spPr>
                        <a:xfrm>
                          <a:off x="0" y="0"/>
                          <a:ext cx="2667635" cy="234950"/>
                        </a:xfrm>
                        <a:prstGeom prst="rect">
                          <a:avLst/>
                        </a:prstGeom>
                        <a:noFill/>
                        <a:ln w="6350">
                          <a:noFill/>
                        </a:ln>
                        <a:effectLst/>
                      </wps:spPr>
                      <wps:txbx>
                        <w:txbxContent>
                          <w:p>
                            <w:pPr>
                              <w:pStyle w:val="25"/>
                            </w:pPr>
                            <w:r>
                              <w:rPr>
                                <w:rFonts w:hint="eastAsia"/>
                              </w:rPr>
                              <w:t>中国电机工程学会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1" o:spid="_x0000_s1026" o:spt="202" type="#_x0000_t202" style="position:absolute;left:0pt;margin-left:167.75pt;margin-top:766.75pt;height:18.5pt;width:210.05pt;mso-position-horizontal-relative:page;mso-position-vertical-relative:page;z-index:251664384;mso-width-relative:page;mso-height-relative:page;" filled="f" stroked="f" coordsize="21600,21600" o:gfxdata="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VC1FtoAAAANAQAADwAA&#10;AAAAAAABACAAAAAiAAAAZHJzL2Rvd25yZXYueG1sUEsBAhQAFAAAAAgAh07iQJozfJdNAgAAbgQA&#10;AA4AAAAAAAAAAQAgAAAAKQEAAGRycy9lMm9Eb2MueG1sUEsFBgAAAAAGAAYAWQEAAOgFAAAAAA==&#10;">
                <v:fill on="f" focussize="0,0"/>
                <v:stroke on="f" weight="0.5pt"/>
                <v:imagedata o:title=""/>
                <o:lock v:ext="edit" aspectratio="f"/>
                <v:textbox inset="0mm,0mm,0mm,0mm">
                  <w:txbxContent>
                    <w:p>
                      <w:pPr>
                        <w:pStyle w:val="25"/>
                      </w:pPr>
                      <w:r>
                        <w:rPr>
                          <w:rFonts w:hint="eastAsia"/>
                        </w:rPr>
                        <w:t>中国电机工程学会</w:t>
                      </w:r>
                    </w:p>
                  </w:txbxContent>
                </v:textbox>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3240405</wp:posOffset>
                </wp:positionH>
                <wp:positionV relativeFrom="paragraph">
                  <wp:posOffset>8567420</wp:posOffset>
                </wp:positionV>
                <wp:extent cx="2880360" cy="360045"/>
                <wp:effectExtent l="0" t="0" r="0" b="0"/>
                <wp:wrapNone/>
                <wp:docPr id="20"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a:effectLst/>
                      </wps:spPr>
                      <wps:txbx>
                        <w:txbxContent>
                          <w:p>
                            <w:pPr>
                              <w:pStyle w:val="26"/>
                            </w:pPr>
                            <w:r>
                              <w:t>20XX—XX—XX实施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9" o:spid="_x0000_s1026" o:spt="202" type="#_x0000_t202" style="position:absolute;left:0pt;margin-left:255.15pt;margin-top:674.6pt;height:28.35pt;width:226.8pt;z-index:251662336;mso-width-relative:page;mso-height-relative:page;" filled="f" stroked="f" coordsize="21600,21600" o:gfxdata="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xs1H/2QAAAA0BAAAP&#10;AAAAAAAAAAEAIAAAACIAAABkcnMvZG93bnJldi54bWxQSwECFAAUAAAACACHTuJAiYrVs1ACAABx&#10;BAAADgAAAAAAAAABACAAAAAoAQAAZHJzL2Uyb0RvYy54bWxQSwUGAAAAAAYABgBZAQAA6gUAAAAA&#10;">
                <v:fill on="f" focussize="0,0"/>
                <v:stroke on="f" weight="0.5pt"/>
                <v:imagedata o:title=""/>
                <o:lock v:ext="edit" aspectratio="f"/>
                <v:textbox inset="0mm,0mm,2.54mm,0mm" style="mso-fit-shape-to-text:t;">
                  <w:txbxContent>
                    <w:p>
                      <w:pPr>
                        <w:pStyle w:val="26"/>
                      </w:pPr>
                      <w:r>
                        <w:t>20XX—XX—XX实施</w:t>
                      </w:r>
                    </w:p>
                  </w:txbxContent>
                </v:textbox>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8567420</wp:posOffset>
                </wp:positionV>
                <wp:extent cx="2880360" cy="360045"/>
                <wp:effectExtent l="0" t="0" r="0" b="0"/>
                <wp:wrapNone/>
                <wp:docPr id="19"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a:effectLst/>
                      </wps:spPr>
                      <wps:txbx>
                        <w:txbxContent>
                          <w:p>
                            <w:pPr>
                              <w:pStyle w:val="27"/>
                            </w:pPr>
                            <w:r>
                              <w:t>20XX—XX—XX发布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8" o:spid="_x0000_s1026" o:spt="202" type="#_x0000_t202" style="position:absolute;left:0pt;margin-left:0.05pt;margin-top:674.6pt;height:28.35pt;width:226.8pt;z-index:251661312;mso-width-relative:page;mso-height-relative:page;" filled="f" stroked="f" coordsize="21600,21600" o:gfxdata="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WZIZ2AAAAAoBAAAP&#10;AAAAAAAAAAEAIAAAACIAAABkcnMvZG93bnJldi54bWxQSwECFAAUAAAACACHTuJAKsJjiFECAABx&#10;BAAADgAAAAAAAAABACAAAAAnAQAAZHJzL2Uyb0RvYy54bWxQSwUGAAAAAAYABgBZAQAA6gUAAAAA&#10;">
                <v:fill on="f" focussize="0,0"/>
                <v:stroke on="f" weight="0.5pt"/>
                <v:imagedata o:title=""/>
                <o:lock v:ext="edit" aspectratio="f"/>
                <v:textbox inset="0mm,0mm,2.54mm,0mm" style="mso-fit-shape-to-text:t;">
                  <w:txbxContent>
                    <w:p>
                      <w:pPr>
                        <w:pStyle w:val="27"/>
                      </w:pPr>
                      <w:r>
                        <w:t>20XX—XX—XX发布</w:t>
                      </w:r>
                    </w:p>
                  </w:txbxContent>
                </v:textbox>
              </v:shape>
            </w:pict>
          </mc:Fallback>
        </mc:AlternateContent>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1620520</wp:posOffset>
                </wp:positionH>
                <wp:positionV relativeFrom="paragraph">
                  <wp:posOffset>1798320</wp:posOffset>
                </wp:positionV>
                <wp:extent cx="4320540" cy="720090"/>
                <wp:effectExtent l="0" t="0" r="0" b="0"/>
                <wp:wrapNone/>
                <wp:docPr id="16"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a:effectLst/>
                      </wps:spPr>
                      <wps:txbx>
                        <w:txbxContent>
                          <w:p>
                            <w:pPr>
                              <w:pStyle w:val="28"/>
                              <w:wordWrap w:val="0"/>
                            </w:pPr>
                            <w:r>
                              <w:t>T/CSEE XXXX</w:t>
                            </w:r>
                            <w:r>
                              <w:rPr>
                                <w:color w:val="FF0000"/>
                              </w:rPr>
                              <w:t>—</w:t>
                            </w:r>
                            <w:r>
                              <w:t>YYYY</w:t>
                            </w:r>
                          </w:p>
                          <w:p>
                            <w:pPr>
                              <w:pStyle w:val="29"/>
                            </w:pPr>
                            <w:r>
                              <w:rPr>
                                <w:rFonts w:hint="eastAsia"/>
                              </w:rPr>
                              <w:t>代替 T/X</w:t>
                            </w:r>
                            <w:r>
                              <w:t>X</w:t>
                            </w:r>
                            <w:r>
                              <w:rPr>
                                <w:rFonts w:hint="eastAsia"/>
                              </w:rPr>
                              <w:t>XX</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5" o:spid="_x0000_s1026" o:spt="202" type="#_x0000_t202" style="position:absolute;left:0pt;margin-left:127.6pt;margin-top:141.6pt;height:56.7pt;width:340.2pt;z-index:251659264;mso-width-relative:page;mso-height-relative:page;" filled="f" stroked="f" coordsize="21600,21600" o:gfxdata="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m2e8/YAAAACwEAAA8A&#10;AAAAAAAAAQAgAAAAIgAAAGRycy9kb3ducmV2LnhtbFBLAQIUABQAAAAIAIdO4kBa38+RUAIAAHEE&#10;AAAOAAAAAAAAAAEAIAAAACcBAABkcnMvZTJvRG9jLnhtbFBLBQYAAAAABgAGAFkBAADpBQAAAAA=&#10;">
                <v:fill on="f" focussize="0,0"/>
                <v:stroke on="f" weight="0.5pt"/>
                <v:imagedata o:title=""/>
                <o:lock v:ext="edit" aspectratio="f"/>
                <v:textbox inset="0mm,0mm,2.54mm,0mm" style="mso-fit-shape-to-text:t;">
                  <w:txbxContent>
                    <w:p>
                      <w:pPr>
                        <w:pStyle w:val="28"/>
                        <w:wordWrap w:val="0"/>
                      </w:pPr>
                      <w:r>
                        <w:t>T/CSEE XXXX</w:t>
                      </w:r>
                      <w:r>
                        <w:rPr>
                          <w:color w:val="FF0000"/>
                        </w:rPr>
                        <w:t>—</w:t>
                      </w:r>
                      <w:r>
                        <w:t>YYYY</w:t>
                      </w:r>
                    </w:p>
                    <w:p>
                      <w:pPr>
                        <w:pStyle w:val="29"/>
                      </w:pPr>
                      <w:r>
                        <w:rPr>
                          <w:rFonts w:hint="eastAsia"/>
                        </w:rPr>
                        <w:t>代替 T/X</w:t>
                      </w:r>
                      <w:r>
                        <w:t>X</w:t>
                      </w:r>
                      <w:r>
                        <w:rPr>
                          <w:rFonts w:hint="eastAsia"/>
                        </w:rPr>
                        <w:t>XX</w:t>
                      </w:r>
                    </w:p>
                  </w:txbxContent>
                </v:textbox>
              </v:shape>
            </w:pict>
          </mc:Fallback>
        </mc:AlternateContent>
      </w:r>
    </w:p>
    <w:p>
      <w:pPr>
        <w:spacing w:line="200" w:lineRule="exact"/>
        <w:rPr>
          <w:color w:val="auto"/>
          <w:sz w:val="24"/>
          <w:highlight w:val="none"/>
        </w:rPr>
      </w:pPr>
    </w:p>
    <w:p>
      <w:pPr>
        <w:spacing w:line="276" w:lineRule="auto"/>
        <w:ind w:left="57"/>
        <w:jc w:val="center"/>
        <w:rPr>
          <w:rFonts w:ascii="黑体" w:hAnsi="黑体" w:eastAsia="黑体" w:cs="黑体"/>
          <w:color w:val="auto"/>
          <w:sz w:val="52"/>
          <w:szCs w:val="52"/>
          <w:highlight w:val="none"/>
        </w:rPr>
      </w:pPr>
    </w:p>
    <w:p>
      <w:pPr>
        <w:spacing w:line="276" w:lineRule="auto"/>
        <w:ind w:left="57"/>
        <w:jc w:val="center"/>
        <w:rPr>
          <w:rFonts w:ascii="黑体" w:hAnsi="黑体" w:eastAsia="黑体" w:cs="黑体"/>
          <w:color w:val="auto"/>
          <w:sz w:val="52"/>
          <w:szCs w:val="52"/>
          <w:highlight w:val="none"/>
        </w:rPr>
      </w:pPr>
    </w:p>
    <w:p>
      <w:pPr>
        <w:spacing w:line="276" w:lineRule="auto"/>
        <w:ind w:left="57"/>
        <w:jc w:val="center"/>
        <w:rPr>
          <w:rFonts w:ascii="黑体" w:hAnsi="黑体" w:eastAsia="黑体" w:cs="黑体"/>
          <w:color w:val="auto"/>
          <w:sz w:val="52"/>
          <w:szCs w:val="52"/>
          <w:highlight w:val="none"/>
        </w:rPr>
      </w:pPr>
      <w:r>
        <w:rPr>
          <w:rFonts w:ascii="黑体" w:hAnsi="黑体" w:eastAsia="黑体" w:cs="黑体"/>
          <w:color w:val="auto"/>
          <w:sz w:val="52"/>
          <w:szCs w:val="52"/>
          <w:highlight w:val="none"/>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-245110</wp:posOffset>
                </wp:positionV>
                <wp:extent cx="6120765" cy="4320540"/>
                <wp:effectExtent l="0" t="0" r="0" b="0"/>
                <wp:wrapNone/>
                <wp:docPr id="18"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noFill/>
                        <a:ln w="6350">
                          <a:noFill/>
                        </a:ln>
                        <a:effectLst/>
                      </wps:spPr>
                      <wps:txbx>
                        <w:txbxContent>
                          <w:p>
                            <w:pPr>
                              <w:pStyle w:val="3"/>
                              <w:adjustRightInd w:val="0"/>
                              <w:ind w:firstLine="0" w:firstLineChars="0"/>
                              <w:jc w:val="center"/>
                              <w:textAlignment w:val="baseline"/>
                              <w:rPr>
                                <w:rFonts w:hint="eastAsia" w:ascii="Arial" w:hAnsi="Times New Roman" w:eastAsia="黑体" w:cs="Arial"/>
                                <w:kern w:val="0"/>
                                <w:sz w:val="52"/>
                                <w:szCs w:val="52"/>
                                <w:highlight w:val="none"/>
                                <w:lang w:eastAsia="zh-CN"/>
                              </w:rPr>
                            </w:pPr>
                            <w:r>
                              <w:rPr>
                                <w:rFonts w:hint="eastAsia" w:ascii="Arial" w:hAnsi="Times New Roman" w:eastAsia="黑体" w:cs="Arial"/>
                                <w:kern w:val="0"/>
                                <w:sz w:val="52"/>
                                <w:szCs w:val="52"/>
                                <w:highlight w:val="none"/>
                                <w:lang w:eastAsia="zh-CN"/>
                              </w:rPr>
                              <w:t>立式水轮发电机非承重机架模态</w:t>
                            </w:r>
                          </w:p>
                          <w:p>
                            <w:pPr>
                              <w:pStyle w:val="3"/>
                              <w:adjustRightInd w:val="0"/>
                              <w:ind w:firstLine="0" w:firstLineChars="0"/>
                              <w:jc w:val="center"/>
                              <w:textAlignment w:val="baseline"/>
                              <w:rPr>
                                <w:rFonts w:hint="eastAsia" w:ascii="Arial" w:hAnsi="Times New Roman" w:eastAsia="黑体" w:cs="Arial"/>
                                <w:kern w:val="0"/>
                                <w:sz w:val="52"/>
                                <w:szCs w:val="52"/>
                                <w:highlight w:val="none"/>
                                <w:lang w:eastAsia="zh-CN"/>
                              </w:rPr>
                            </w:pPr>
                            <w:r>
                              <w:rPr>
                                <w:rFonts w:hint="eastAsia" w:ascii="Arial" w:hAnsi="Times New Roman" w:eastAsia="黑体" w:cs="Arial"/>
                                <w:kern w:val="0"/>
                                <w:sz w:val="52"/>
                                <w:szCs w:val="52"/>
                                <w:highlight w:val="none"/>
                                <w:lang w:eastAsia="zh-CN"/>
                              </w:rPr>
                              <w:t>测试技术导则</w:t>
                            </w:r>
                          </w:p>
                          <w:p>
                            <w:pPr>
                              <w:pStyle w:val="30"/>
                              <w:rPr>
                                <w:highlight w:val="none"/>
                              </w:rPr>
                            </w:pPr>
                          </w:p>
                          <w:p>
                            <w:pPr>
                              <w:keepNext w:val="0"/>
                              <w:keepLines w:val="0"/>
                              <w:widowControl/>
                              <w:suppressLineNumbers w:val="0"/>
                              <w:jc w:val="center"/>
                              <w:rPr>
                                <w:rFonts w:hint="eastAsia" w:ascii="黑体" w:hAnsi="黑体" w:eastAsia="黑体" w:cs="黑体"/>
                                <w:bCs/>
                                <w:kern w:val="0"/>
                                <w:sz w:val="28"/>
                                <w:szCs w:val="28"/>
                                <w:highlight w:val="none"/>
                                <w:lang w:val="en-US" w:eastAsia="zh-CN" w:bidi="ar-SA"/>
                              </w:rPr>
                            </w:pPr>
                            <w:r>
                              <w:rPr>
                                <w:rFonts w:hint="eastAsia" w:ascii="黑体" w:hAnsi="黑体" w:eastAsia="黑体" w:cs="黑体"/>
                                <w:bCs/>
                                <w:kern w:val="0"/>
                                <w:sz w:val="28"/>
                                <w:szCs w:val="28"/>
                                <w:highlight w:val="none"/>
                                <w:lang w:val="en-US" w:eastAsia="zh-CN" w:bidi="ar-SA"/>
                              </w:rPr>
                              <w:t>Technical guidelines for modal test</w:t>
                            </w:r>
                          </w:p>
                          <w:p>
                            <w:pPr>
                              <w:keepNext w:val="0"/>
                              <w:keepLines w:val="0"/>
                              <w:widowControl/>
                              <w:suppressLineNumbers w:val="0"/>
                              <w:jc w:val="center"/>
                              <w:rPr>
                                <w:sz w:val="28"/>
                                <w:szCs w:val="28"/>
                              </w:rPr>
                            </w:pPr>
                            <w:r>
                              <w:rPr>
                                <w:rFonts w:hint="eastAsia" w:ascii="黑体" w:hAnsi="黑体" w:eastAsia="黑体" w:cs="黑体"/>
                                <w:bCs/>
                                <w:kern w:val="0"/>
                                <w:sz w:val="28"/>
                                <w:szCs w:val="28"/>
                                <w:highlight w:val="none"/>
                                <w:lang w:val="en-US" w:eastAsia="zh-CN" w:bidi="ar-SA"/>
                              </w:rPr>
                              <w:t>for non-load-bearing frames of vertical hydrogenerators</w:t>
                            </w:r>
                          </w:p>
                          <w:p>
                            <w:pPr>
                              <w:pStyle w:val="3"/>
                              <w:adjustRightInd w:val="0"/>
                              <w:ind w:firstLine="0" w:firstLineChars="0"/>
                              <w:jc w:val="center"/>
                              <w:textAlignment w:val="baseline"/>
                              <w:rPr>
                                <w:rFonts w:ascii="黑体" w:hAnsi="黑体" w:eastAsia="黑体" w:cs="黑体"/>
                                <w:bCs/>
                                <w:kern w:val="0"/>
                                <w:sz w:val="28"/>
                                <w:szCs w:val="28"/>
                                <w:highlight w:val="none"/>
                              </w:rPr>
                            </w:pPr>
                          </w:p>
                          <w:p>
                            <w:pPr>
                              <w:pStyle w:val="31"/>
                            </w:pPr>
                          </w:p>
                          <w:p>
                            <w:pPr>
                              <w:pStyle w:val="31"/>
                            </w:pPr>
                            <w:r>
                              <w:t>（</w:t>
                            </w:r>
                            <w:r>
                              <w:rPr>
                                <w:rFonts w:hint="eastAsia"/>
                                <w:lang w:val="en-US" w:eastAsia="zh-CN"/>
                              </w:rPr>
                              <w:t>草案</w:t>
                            </w:r>
                            <w:r>
                              <w:t>）</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7" o:spid="_x0000_s1026" o:spt="202" type="#_x0000_t202" style="position:absolute;left:0pt;margin-left:0pt;margin-top:-19.3pt;height:340.2pt;width:481.95pt;z-index:251667456;mso-width-relative:page;mso-height-relative:page;" filled="f" stroked="f" coordsize="21600,21600" o:gfxdata="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65u0/WAAAACAEAAA8A&#10;AAAAAAAAAQAgAAAAIgAAAGRycy9kb3ducmV2LnhtbFBLAQIUABQAAAAIAIdO4kA2N1MQUgIAAHIE&#10;AAAOAAAAAAAAAAEAIAAAACUBAABkcnMvZTJvRG9jLnhtbFBLBQYAAAAABgAGAFkBAADpBQAAAAA=&#10;">
                <v:fill on="f" focussize="0,0"/>
                <v:stroke on="f" weight="0.5pt"/>
                <v:imagedata o:title=""/>
                <o:lock v:ext="edit" aspectratio="f"/>
                <v:textbox inset="0mm,0mm,2.54mm,0mm" style="mso-fit-shape-to-text:t;">
                  <w:txbxContent>
                    <w:p>
                      <w:pPr>
                        <w:pStyle w:val="3"/>
                        <w:adjustRightInd w:val="0"/>
                        <w:ind w:firstLine="0" w:firstLineChars="0"/>
                        <w:jc w:val="center"/>
                        <w:textAlignment w:val="baseline"/>
                        <w:rPr>
                          <w:rFonts w:hint="eastAsia" w:ascii="Arial" w:hAnsi="Times New Roman" w:eastAsia="黑体" w:cs="Arial"/>
                          <w:kern w:val="0"/>
                          <w:sz w:val="52"/>
                          <w:szCs w:val="52"/>
                          <w:highlight w:val="none"/>
                          <w:lang w:eastAsia="zh-CN"/>
                        </w:rPr>
                      </w:pPr>
                      <w:r>
                        <w:rPr>
                          <w:rFonts w:hint="eastAsia" w:ascii="Arial" w:hAnsi="Times New Roman" w:eastAsia="黑体" w:cs="Arial"/>
                          <w:kern w:val="0"/>
                          <w:sz w:val="52"/>
                          <w:szCs w:val="52"/>
                          <w:highlight w:val="none"/>
                          <w:lang w:eastAsia="zh-CN"/>
                        </w:rPr>
                        <w:t>立式水轮发电机非承重机架模态</w:t>
                      </w:r>
                    </w:p>
                    <w:p>
                      <w:pPr>
                        <w:pStyle w:val="3"/>
                        <w:adjustRightInd w:val="0"/>
                        <w:ind w:firstLine="0" w:firstLineChars="0"/>
                        <w:jc w:val="center"/>
                        <w:textAlignment w:val="baseline"/>
                        <w:rPr>
                          <w:rFonts w:hint="eastAsia" w:ascii="Arial" w:hAnsi="Times New Roman" w:eastAsia="黑体" w:cs="Arial"/>
                          <w:kern w:val="0"/>
                          <w:sz w:val="52"/>
                          <w:szCs w:val="52"/>
                          <w:highlight w:val="none"/>
                          <w:lang w:eastAsia="zh-CN"/>
                        </w:rPr>
                      </w:pPr>
                      <w:r>
                        <w:rPr>
                          <w:rFonts w:hint="eastAsia" w:ascii="Arial" w:hAnsi="Times New Roman" w:eastAsia="黑体" w:cs="Arial"/>
                          <w:kern w:val="0"/>
                          <w:sz w:val="52"/>
                          <w:szCs w:val="52"/>
                          <w:highlight w:val="none"/>
                          <w:lang w:eastAsia="zh-CN"/>
                        </w:rPr>
                        <w:t>测试技术导则</w:t>
                      </w:r>
                    </w:p>
                    <w:p>
                      <w:pPr>
                        <w:pStyle w:val="30"/>
                        <w:rPr>
                          <w:highlight w:val="none"/>
                        </w:rPr>
                      </w:pPr>
                    </w:p>
                    <w:p>
                      <w:pPr>
                        <w:keepNext w:val="0"/>
                        <w:keepLines w:val="0"/>
                        <w:widowControl/>
                        <w:suppressLineNumbers w:val="0"/>
                        <w:jc w:val="center"/>
                        <w:rPr>
                          <w:rFonts w:hint="eastAsia" w:ascii="黑体" w:hAnsi="黑体" w:eastAsia="黑体" w:cs="黑体"/>
                          <w:bCs/>
                          <w:kern w:val="0"/>
                          <w:sz w:val="28"/>
                          <w:szCs w:val="28"/>
                          <w:highlight w:val="none"/>
                          <w:lang w:val="en-US" w:eastAsia="zh-CN" w:bidi="ar-SA"/>
                        </w:rPr>
                      </w:pPr>
                      <w:r>
                        <w:rPr>
                          <w:rFonts w:hint="eastAsia" w:ascii="黑体" w:hAnsi="黑体" w:eastAsia="黑体" w:cs="黑体"/>
                          <w:bCs/>
                          <w:kern w:val="0"/>
                          <w:sz w:val="28"/>
                          <w:szCs w:val="28"/>
                          <w:highlight w:val="none"/>
                          <w:lang w:val="en-US" w:eastAsia="zh-CN" w:bidi="ar-SA"/>
                        </w:rPr>
                        <w:t>Technical guidelines for modal test</w:t>
                      </w:r>
                    </w:p>
                    <w:p>
                      <w:pPr>
                        <w:keepNext w:val="0"/>
                        <w:keepLines w:val="0"/>
                        <w:widowControl/>
                        <w:suppressLineNumbers w:val="0"/>
                        <w:jc w:val="center"/>
                        <w:rPr>
                          <w:sz w:val="28"/>
                          <w:szCs w:val="28"/>
                        </w:rPr>
                      </w:pPr>
                      <w:r>
                        <w:rPr>
                          <w:rFonts w:hint="eastAsia" w:ascii="黑体" w:hAnsi="黑体" w:eastAsia="黑体" w:cs="黑体"/>
                          <w:bCs/>
                          <w:kern w:val="0"/>
                          <w:sz w:val="28"/>
                          <w:szCs w:val="28"/>
                          <w:highlight w:val="none"/>
                          <w:lang w:val="en-US" w:eastAsia="zh-CN" w:bidi="ar-SA"/>
                        </w:rPr>
                        <w:t>for non-load-bearing frames of vertical hydrogenerators</w:t>
                      </w:r>
                    </w:p>
                    <w:p>
                      <w:pPr>
                        <w:pStyle w:val="3"/>
                        <w:adjustRightInd w:val="0"/>
                        <w:ind w:firstLine="0" w:firstLineChars="0"/>
                        <w:jc w:val="center"/>
                        <w:textAlignment w:val="baseline"/>
                        <w:rPr>
                          <w:rFonts w:ascii="黑体" w:hAnsi="黑体" w:eastAsia="黑体" w:cs="黑体"/>
                          <w:bCs/>
                          <w:kern w:val="0"/>
                          <w:sz w:val="28"/>
                          <w:szCs w:val="28"/>
                          <w:highlight w:val="none"/>
                        </w:rPr>
                      </w:pPr>
                    </w:p>
                    <w:p>
                      <w:pPr>
                        <w:pStyle w:val="31"/>
                      </w:pPr>
                    </w:p>
                    <w:p>
                      <w:pPr>
                        <w:pStyle w:val="31"/>
                      </w:pPr>
                      <w:r>
                        <w:t>（</w:t>
                      </w:r>
                      <w:r>
                        <w:rPr>
                          <w:rFonts w:hint="eastAsia"/>
                          <w:lang w:val="en-US" w:eastAsia="zh-CN"/>
                        </w:rPr>
                        <w:t>草案</w:t>
                      </w:r>
                      <w:r>
                        <w:t>）</w:t>
                      </w:r>
                    </w:p>
                  </w:txbxContent>
                </v:textbox>
              </v:shape>
            </w:pict>
          </mc:Fallback>
        </mc:AlternateContent>
      </w:r>
    </w:p>
    <w:p>
      <w:pPr>
        <w:spacing w:line="200" w:lineRule="exact"/>
        <w:rPr>
          <w:color w:val="auto"/>
          <w:sz w:val="24"/>
          <w:highlight w:val="none"/>
        </w:rPr>
      </w:pPr>
    </w:p>
    <w:p>
      <w:pPr>
        <w:pStyle w:val="11"/>
        <w:ind w:firstLine="210"/>
        <w:rPr>
          <w:color w:val="auto"/>
          <w:highlight w:val="none"/>
        </w:rPr>
      </w:pPr>
    </w:p>
    <w:p>
      <w:pPr>
        <w:spacing w:line="200" w:lineRule="exact"/>
        <w:rPr>
          <w:color w:val="auto"/>
          <w:sz w:val="24"/>
          <w:highlight w:val="none"/>
        </w:rPr>
      </w:pPr>
    </w:p>
    <w:p>
      <w:pPr>
        <w:spacing w:line="200" w:lineRule="exact"/>
        <w:rPr>
          <w:color w:val="auto"/>
          <w:sz w:val="24"/>
          <w:highlight w:val="none"/>
        </w:rPr>
      </w:pPr>
    </w:p>
    <w:p>
      <w:pPr>
        <w:spacing w:line="200" w:lineRule="exact"/>
        <w:rPr>
          <w:color w:val="auto"/>
          <w:sz w:val="24"/>
          <w:highlight w:val="none"/>
        </w:rPr>
      </w:pPr>
    </w:p>
    <w:p>
      <w:pPr>
        <w:spacing w:line="200" w:lineRule="exact"/>
        <w:rPr>
          <w:color w:val="auto"/>
          <w:sz w:val="24"/>
          <w:highlight w:val="none"/>
        </w:rPr>
      </w:pPr>
    </w:p>
    <w:p>
      <w:pPr>
        <w:spacing w:line="200" w:lineRule="exact"/>
        <w:rPr>
          <w:color w:val="auto"/>
          <w:sz w:val="24"/>
          <w:highlight w:val="none"/>
        </w:rPr>
      </w:pPr>
    </w:p>
    <w:p>
      <w:pPr>
        <w:spacing w:line="200" w:lineRule="exact"/>
        <w:rPr>
          <w:color w:val="auto"/>
          <w:sz w:val="24"/>
          <w:highlight w:val="none"/>
        </w:rPr>
      </w:pPr>
    </w:p>
    <w:p>
      <w:pPr>
        <w:spacing w:beforeLines="100"/>
        <w:jc w:val="center"/>
        <w:rPr>
          <w:color w:val="auto"/>
          <w:highlight w:val="none"/>
        </w:rPr>
        <w:sectPr>
          <w:headerReference r:id="rId3" w:type="default"/>
          <w:headerReference r:id="rId4" w:type="even"/>
          <w:pgSz w:w="11900" w:h="16840"/>
          <w:pgMar w:top="284" w:right="1134" w:bottom="1134" w:left="1418" w:header="284" w:footer="1418" w:gutter="0"/>
          <w:pgNumType w:fmt="upperRoman"/>
          <w:cols w:space="720" w:num="1"/>
        </w:sectPr>
      </w:pPr>
    </w:p>
    <w:p>
      <w:pPr>
        <w:spacing w:beforeLines="50" w:afterLines="50"/>
        <w:jc w:val="center"/>
        <w:rPr>
          <w:rFonts w:hint="eastAsia" w:eastAsia="黑体"/>
          <w:color w:val="auto"/>
          <w:sz w:val="32"/>
          <w:szCs w:val="32"/>
          <w:highlight w:val="none"/>
          <w:lang w:val="en-US" w:eastAsia="zh-CN"/>
        </w:rPr>
      </w:pPr>
      <w:r>
        <w:rPr>
          <w:rFonts w:eastAsia="黑体"/>
          <w:color w:val="auto"/>
          <w:sz w:val="32"/>
          <w:szCs w:val="32"/>
          <w:highlight w:val="none"/>
        </w:rPr>
        <w:t>目</w:t>
      </w:r>
      <w:r>
        <w:rPr>
          <w:rFonts w:hint="eastAsia" w:eastAsia="黑体"/>
          <w:color w:val="auto"/>
          <w:sz w:val="32"/>
          <w:szCs w:val="32"/>
          <w:highlight w:val="none"/>
          <w:lang w:val="en-US" w:eastAsia="zh-CN"/>
        </w:rPr>
        <w:t xml:space="preserve"> </w:t>
      </w:r>
      <w:r>
        <w:rPr>
          <w:rFonts w:eastAsia="黑体"/>
          <w:color w:val="auto"/>
          <w:sz w:val="32"/>
          <w:szCs w:val="32"/>
          <w:highlight w:val="none"/>
        </w:rPr>
        <w:t xml:space="preserve"> </w:t>
      </w:r>
      <w:r>
        <w:rPr>
          <w:rFonts w:hint="eastAsia" w:eastAsia="黑体"/>
          <w:color w:val="auto"/>
          <w:sz w:val="32"/>
          <w:szCs w:val="32"/>
          <w:highlight w:val="none"/>
          <w:lang w:val="en-US" w:eastAsia="zh-CN"/>
        </w:rPr>
        <w:t>次</w:t>
      </w:r>
    </w:p>
    <w:p>
      <w:pPr>
        <w:pStyle w:val="8"/>
        <w:tabs>
          <w:tab w:val="right" w:leader="dot" w:pos="9355"/>
        </w:tabs>
        <w:rPr>
          <w:rFonts w:hint="default" w:ascii="Times New Roman" w:hAnsi="Times New Roman" w:eastAsia="宋体" w:cs="Times New Roman"/>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_Toc19710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Cs w:val="32"/>
          <w:highlight w:val="none"/>
        </w:rPr>
        <w:t>前  言</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_Toc19710 \h </w:instrText>
      </w:r>
      <w:r>
        <w:rPr>
          <w:rFonts w:hint="default" w:ascii="Times New Roman" w:hAnsi="Times New Roman" w:eastAsia="宋体" w:cs="Times New Roman"/>
        </w:rPr>
        <w:fldChar w:fldCharType="separate"/>
      </w:r>
      <w:r>
        <w:rPr>
          <w:rFonts w:hint="default" w:ascii="Times New Roman" w:hAnsi="Times New Roman" w:eastAsia="宋体" w:cs="Times New Roman"/>
        </w:rPr>
        <w:t>II</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9"/>
        <w:keepNext w:val="0"/>
        <w:keepLines w:val="0"/>
        <w:pageBreakBefore w:val="0"/>
        <w:widowControl w:val="0"/>
        <w:tabs>
          <w:tab w:val="right" w:leader="dot" w:pos="9355"/>
        </w:tabs>
        <w:kinsoku/>
        <w:wordWrap/>
        <w:overflowPunct/>
        <w:topLinePunct w:val="0"/>
        <w:autoSpaceDE/>
        <w:autoSpaceDN/>
        <w:bidi w:val="0"/>
        <w:adjustRightInd/>
        <w:snapToGrid/>
        <w:ind w:left="0" w:leftChars="0"/>
        <w:textAlignment w:val="auto"/>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_Toc12082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rPr>
        <w:t xml:space="preserve">1 </w:t>
      </w:r>
      <w:r>
        <w:rPr>
          <w:rFonts w:hint="default" w:ascii="Times New Roman" w:hAnsi="Times New Roman" w:eastAsia="宋体" w:cs="Times New Roman"/>
          <w:bCs/>
          <w:szCs w:val="21"/>
          <w:highlight w:val="none"/>
        </w:rPr>
        <w:t>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_Toc12082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9"/>
        <w:keepNext w:val="0"/>
        <w:keepLines w:val="0"/>
        <w:pageBreakBefore w:val="0"/>
        <w:widowControl w:val="0"/>
        <w:tabs>
          <w:tab w:val="right" w:leader="dot" w:pos="9355"/>
        </w:tabs>
        <w:kinsoku/>
        <w:wordWrap/>
        <w:overflowPunct/>
        <w:topLinePunct w:val="0"/>
        <w:autoSpaceDE/>
        <w:autoSpaceDN/>
        <w:bidi w:val="0"/>
        <w:adjustRightInd/>
        <w:snapToGrid/>
        <w:ind w:left="0" w:leftChars="0"/>
        <w:textAlignment w:val="auto"/>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_Toc23709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rPr>
        <w:t xml:space="preserve">2 </w:t>
      </w:r>
      <w:r>
        <w:rPr>
          <w:rFonts w:hint="default" w:ascii="Times New Roman" w:hAnsi="Times New Roman" w:eastAsia="宋体" w:cs="Times New Roman"/>
          <w:bCs/>
          <w:szCs w:val="21"/>
          <w:highlight w:val="none"/>
        </w:rPr>
        <w:t>规范性引用文件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_Toc23709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9"/>
        <w:keepNext w:val="0"/>
        <w:keepLines w:val="0"/>
        <w:pageBreakBefore w:val="0"/>
        <w:widowControl w:val="0"/>
        <w:tabs>
          <w:tab w:val="right" w:leader="dot" w:pos="9355"/>
        </w:tabs>
        <w:kinsoku/>
        <w:wordWrap/>
        <w:overflowPunct/>
        <w:topLinePunct w:val="0"/>
        <w:autoSpaceDE/>
        <w:autoSpaceDN/>
        <w:bidi w:val="0"/>
        <w:adjustRightInd/>
        <w:snapToGrid/>
        <w:ind w:left="0" w:leftChars="0"/>
        <w:textAlignment w:val="auto"/>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_Toc19385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rPr>
        <w:t xml:space="preserve">3 </w:t>
      </w:r>
      <w:r>
        <w:rPr>
          <w:rFonts w:hint="default" w:ascii="Times New Roman" w:hAnsi="Times New Roman" w:eastAsia="宋体" w:cs="Times New Roman"/>
          <w:bCs/>
          <w:szCs w:val="21"/>
          <w:highlight w:val="none"/>
        </w:rPr>
        <w:t>术语及定义</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_Toc19385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9"/>
        <w:keepNext w:val="0"/>
        <w:keepLines w:val="0"/>
        <w:pageBreakBefore w:val="0"/>
        <w:widowControl w:val="0"/>
        <w:tabs>
          <w:tab w:val="right" w:leader="dot" w:pos="9355"/>
        </w:tabs>
        <w:kinsoku/>
        <w:wordWrap/>
        <w:overflowPunct/>
        <w:topLinePunct w:val="0"/>
        <w:autoSpaceDE/>
        <w:autoSpaceDN/>
        <w:bidi w:val="0"/>
        <w:adjustRightInd/>
        <w:snapToGrid/>
        <w:ind w:left="0" w:leftChars="0"/>
        <w:textAlignment w:val="auto"/>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_Toc32251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rPr>
        <w:t xml:space="preserve">4 </w:t>
      </w:r>
      <w:r>
        <w:rPr>
          <w:rFonts w:hint="default" w:ascii="Times New Roman" w:hAnsi="Times New Roman" w:eastAsia="宋体" w:cs="Times New Roman"/>
          <w:bCs/>
          <w:szCs w:val="21"/>
          <w:highlight w:val="none"/>
          <w:lang w:val="en-US" w:eastAsia="zh-CN"/>
        </w:rPr>
        <w:t>一般技术要求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_Toc32251 \h </w:instrText>
      </w:r>
      <w:r>
        <w:rPr>
          <w:rFonts w:hint="default" w:ascii="Times New Roman" w:hAnsi="Times New Roman" w:eastAsia="宋体" w:cs="Times New Roman"/>
        </w:rPr>
        <w:fldChar w:fldCharType="separate"/>
      </w:r>
      <w:r>
        <w:rPr>
          <w:rFonts w:hint="default" w:ascii="Times New Roman" w:hAnsi="Times New Roman" w:eastAsia="宋体" w:cs="Times New Roman"/>
        </w:rPr>
        <w:t>2</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9"/>
        <w:keepNext w:val="0"/>
        <w:keepLines w:val="0"/>
        <w:pageBreakBefore w:val="0"/>
        <w:widowControl w:val="0"/>
        <w:tabs>
          <w:tab w:val="right" w:leader="dot" w:pos="9355"/>
        </w:tabs>
        <w:kinsoku/>
        <w:wordWrap/>
        <w:overflowPunct/>
        <w:topLinePunct w:val="0"/>
        <w:autoSpaceDE/>
        <w:autoSpaceDN/>
        <w:bidi w:val="0"/>
        <w:adjustRightInd/>
        <w:snapToGrid/>
        <w:ind w:left="0" w:leftChars="0"/>
        <w:textAlignment w:val="auto"/>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_Toc30562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rPr>
        <w:t xml:space="preserve">5 </w:t>
      </w:r>
      <w:r>
        <w:rPr>
          <w:rFonts w:hint="default" w:ascii="Times New Roman" w:hAnsi="Times New Roman" w:eastAsia="宋体" w:cs="Times New Roman"/>
          <w:bCs/>
          <w:szCs w:val="21"/>
          <w:highlight w:val="none"/>
        </w:rPr>
        <w:t>模态测试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_Toc30562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9"/>
        <w:keepNext w:val="0"/>
        <w:keepLines w:val="0"/>
        <w:pageBreakBefore w:val="0"/>
        <w:widowControl w:val="0"/>
        <w:tabs>
          <w:tab w:val="right" w:leader="dot" w:pos="9355"/>
        </w:tabs>
        <w:kinsoku/>
        <w:wordWrap/>
        <w:overflowPunct/>
        <w:topLinePunct w:val="0"/>
        <w:autoSpaceDE/>
        <w:autoSpaceDN/>
        <w:bidi w:val="0"/>
        <w:adjustRightInd/>
        <w:snapToGrid/>
        <w:ind w:left="0" w:leftChars="0"/>
        <w:textAlignment w:val="auto"/>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_Toc28122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rPr>
        <w:t xml:space="preserve">6 </w:t>
      </w:r>
      <w:r>
        <w:rPr>
          <w:rFonts w:hint="default" w:ascii="Times New Roman" w:hAnsi="Times New Roman" w:eastAsia="宋体" w:cs="Times New Roman"/>
          <w:bCs/>
          <w:szCs w:val="21"/>
          <w:highlight w:val="none"/>
        </w:rPr>
        <w:t>测量仪器及</w:t>
      </w:r>
      <w:r>
        <w:rPr>
          <w:rFonts w:hint="default" w:ascii="Times New Roman" w:hAnsi="Times New Roman" w:eastAsia="宋体" w:cs="Times New Roman"/>
          <w:bCs/>
          <w:szCs w:val="21"/>
          <w:highlight w:val="none"/>
          <w:lang w:val="en-US" w:eastAsia="zh-CN"/>
        </w:rPr>
        <w:t>分析</w:t>
      </w:r>
      <w:r>
        <w:rPr>
          <w:rFonts w:hint="default" w:ascii="Times New Roman" w:hAnsi="Times New Roman" w:eastAsia="宋体" w:cs="Times New Roman"/>
          <w:bCs/>
          <w:szCs w:val="21"/>
          <w:highlight w:val="none"/>
        </w:rPr>
        <w:t>软件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_Toc28122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9"/>
        <w:keepNext w:val="0"/>
        <w:keepLines w:val="0"/>
        <w:pageBreakBefore w:val="0"/>
        <w:widowControl w:val="0"/>
        <w:tabs>
          <w:tab w:val="right" w:leader="dot" w:pos="9355"/>
        </w:tabs>
        <w:kinsoku/>
        <w:wordWrap/>
        <w:overflowPunct/>
        <w:topLinePunct w:val="0"/>
        <w:autoSpaceDE/>
        <w:autoSpaceDN/>
        <w:bidi w:val="0"/>
        <w:adjustRightInd/>
        <w:snapToGrid/>
        <w:ind w:left="0" w:leftChars="0"/>
        <w:textAlignment w:val="auto"/>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_Toc26839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rPr>
        <w:t xml:space="preserve">7 </w:t>
      </w:r>
      <w:r>
        <w:rPr>
          <w:rFonts w:hint="default" w:ascii="Times New Roman" w:hAnsi="Times New Roman" w:eastAsia="宋体" w:cs="Times New Roman"/>
          <w:bCs/>
          <w:szCs w:val="21"/>
          <w:highlight w:val="none"/>
          <w:lang w:val="en-US" w:eastAsia="zh-CN"/>
        </w:rPr>
        <w:t>共振频率校核</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_Toc26839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8"/>
        <w:tabs>
          <w:tab w:val="right" w:leader="dot" w:pos="9355"/>
        </w:tabs>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_Toc2406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highlight w:val="none"/>
        </w:rPr>
        <w:t>附录A</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8"/>
        <w:tabs>
          <w:tab w:val="right" w:leader="dot" w:pos="9355"/>
        </w:tabs>
        <w:rPr>
          <w:rFonts w:hint="default" w:ascii="Times New Roman" w:hAnsi="Times New Roman" w:eastAsia="宋体" w:cs="Times New Roman"/>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_Toc11543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highlight w:val="none"/>
        </w:rPr>
        <w:t>附录B</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_Toc11543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pStyle w:val="8"/>
        <w:tabs>
          <w:tab w:val="right" w:leader="dot" w:pos="9355"/>
        </w:tabs>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highlight w:val="none"/>
        </w:rPr>
        <w:instrText xml:space="preserve"> HYPERLINK \l _Toc17432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bCs/>
          <w:szCs w:val="21"/>
          <w:highlight w:val="none"/>
        </w:rPr>
        <w:t>附录C</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_Toc17432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color w:val="auto"/>
          <w:highlight w:val="none"/>
        </w:rPr>
        <w:fldChar w:fldCharType="end"/>
      </w:r>
    </w:p>
    <w:p>
      <w:pPr>
        <w:spacing w:line="288" w:lineRule="auto"/>
        <w:jc w:val="center"/>
        <w:rPr>
          <w:color w:val="auto"/>
          <w:highlight w:val="none"/>
        </w:rPr>
      </w:pPr>
      <w:r>
        <w:rPr>
          <w:color w:val="auto"/>
          <w:highlight w:val="none"/>
        </w:rPr>
        <w:fldChar w:fldCharType="end"/>
      </w:r>
    </w:p>
    <w:p>
      <w:pPr>
        <w:pStyle w:val="8"/>
        <w:tabs>
          <w:tab w:val="right" w:leader="dot" w:pos="8720"/>
        </w:tabs>
        <w:spacing w:line="360" w:lineRule="auto"/>
        <w:rPr>
          <w:color w:val="auto"/>
          <w:highlight w:val="none"/>
        </w:rPr>
      </w:pPr>
    </w:p>
    <w:p>
      <w:pPr>
        <w:adjustRightInd w:val="0"/>
        <w:snapToGrid w:val="0"/>
        <w:spacing w:beforeLines="200" w:afterLines="100" w:line="300" w:lineRule="auto"/>
        <w:jc w:val="cente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7" w:h="16840"/>
          <w:pgMar w:top="1418" w:right="1134" w:bottom="1134" w:left="1418" w:header="1418" w:footer="1134" w:gutter="0"/>
          <w:pgNumType w:fmt="upperRoman" w:start="1"/>
          <w:cols w:space="720" w:num="1"/>
          <w:docGrid w:linePitch="312" w:charSpace="0"/>
        </w:sectPr>
      </w:pPr>
      <w:bookmarkStart w:id="1" w:name="_Toc78291531"/>
    </w:p>
    <w:p>
      <w:pPr>
        <w:spacing w:before="480" w:after="240" w:line="360" w:lineRule="auto"/>
        <w:jc w:val="center"/>
        <w:outlineLvl w:val="0"/>
        <w:rPr>
          <w:rFonts w:ascii="黑体" w:hAnsi="黑体" w:eastAsia="黑体" w:cs="黑体"/>
          <w:color w:val="auto"/>
          <w:sz w:val="32"/>
          <w:szCs w:val="32"/>
          <w:highlight w:val="none"/>
        </w:rPr>
      </w:pPr>
      <w:bookmarkStart w:id="2" w:name="_Toc15387"/>
      <w:bookmarkStart w:id="3" w:name="_Toc3000"/>
      <w:bookmarkStart w:id="4" w:name="_Toc23460"/>
      <w:bookmarkStart w:id="5" w:name="_Toc8364"/>
      <w:bookmarkStart w:id="6" w:name="_Toc24938"/>
      <w:bookmarkStart w:id="7" w:name="_Toc19710"/>
      <w:bookmarkStart w:id="8" w:name="_Toc16092"/>
      <w:r>
        <w:rPr>
          <w:rFonts w:ascii="黑体" w:hAnsi="黑体" w:eastAsia="黑体" w:cs="黑体"/>
          <w:color w:val="auto"/>
          <w:sz w:val="32"/>
          <w:szCs w:val="32"/>
          <w:highlight w:val="none"/>
        </w:rPr>
        <w:t>前  言</w:t>
      </w:r>
      <w:bookmarkEnd w:id="1"/>
      <w:bookmarkEnd w:id="2"/>
      <w:bookmarkEnd w:id="3"/>
      <w:bookmarkEnd w:id="4"/>
      <w:bookmarkEnd w:id="5"/>
      <w:bookmarkEnd w:id="6"/>
      <w:bookmarkEnd w:id="7"/>
      <w:bookmarkEnd w:id="8"/>
    </w:p>
    <w:p>
      <w:pPr>
        <w:pStyle w:val="11"/>
        <w:spacing w:after="0"/>
        <w:ind w:firstLineChars="200"/>
        <w:rPr>
          <w:rFonts w:hint="eastAsia" w:ascii="宋体" w:hAnsi="宋体" w:eastAsia="宋体" w:cs="宋体"/>
          <w:color w:val="auto"/>
          <w:szCs w:val="21"/>
          <w:highlight w:val="none"/>
        </w:rPr>
      </w:pPr>
      <w:r>
        <w:rPr>
          <w:color w:val="auto"/>
          <w:highlight w:val="none"/>
        </w:rPr>
        <w:t>本文件</w:t>
      </w:r>
      <w:r>
        <w:rPr>
          <w:rFonts w:hint="eastAsia" w:ascii="宋体" w:hAnsi="宋体"/>
          <w:color w:val="auto"/>
          <w:highlight w:val="none"/>
        </w:rPr>
        <w:t>按照《中国电机工程学会标准管理办法（暂行）》的要求，依据</w:t>
      </w:r>
      <w:r>
        <w:rPr>
          <w:color w:val="auto"/>
          <w:highlight w:val="none"/>
        </w:rPr>
        <w:t>GB/T 1.1—2020《标准化工作导则 第1部分：标准化文件的结构和起草规则》的规定起草。</w:t>
      </w:r>
    </w:p>
    <w:p>
      <w:pPr>
        <w:ind w:firstLine="420" w:firstLineChars="200"/>
        <w:rPr>
          <w:color w:val="auto"/>
          <w:highlight w:val="none"/>
        </w:rPr>
      </w:pPr>
      <w:r>
        <w:rPr>
          <w:color w:val="auto"/>
          <w:highlight w:val="none"/>
        </w:rPr>
        <w:t>请注意本文件的某些内容可能涉及专利。本文件的发布机构不承担识别专利的责任。</w:t>
      </w:r>
    </w:p>
    <w:p>
      <w:pPr>
        <w:autoSpaceDE w:val="0"/>
        <w:autoSpaceDN w:val="0"/>
        <w:adjustRightInd w:val="0"/>
        <w:ind w:firstLine="420" w:firstLineChars="200"/>
        <w:jc w:val="left"/>
        <w:rPr>
          <w:rFonts w:ascii="宋体" w:cs="宋体"/>
          <w:color w:val="auto"/>
          <w:kern w:val="0"/>
          <w:szCs w:val="21"/>
          <w:highlight w:val="none"/>
        </w:rPr>
      </w:pPr>
      <w:r>
        <w:rPr>
          <w:color w:val="auto"/>
          <w:highlight w:val="none"/>
        </w:rPr>
        <w:t>本文件</w:t>
      </w:r>
      <w:r>
        <w:rPr>
          <w:rFonts w:hint="eastAsia" w:ascii="宋体" w:cs="宋体"/>
          <w:color w:val="auto"/>
          <w:kern w:val="0"/>
          <w:szCs w:val="21"/>
          <w:highlight w:val="none"/>
        </w:rPr>
        <w:t>由中国电机工程学会提出。</w:t>
      </w:r>
    </w:p>
    <w:p>
      <w:pPr>
        <w:ind w:firstLine="420" w:firstLineChars="200"/>
        <w:rPr>
          <w:color w:val="auto"/>
          <w:highlight w:val="none"/>
        </w:rPr>
      </w:pPr>
      <w:r>
        <w:rPr>
          <w:rFonts w:hint="eastAsia" w:ascii="宋体" w:hAnsi="宋体"/>
          <w:color w:val="auto"/>
          <w:highlight w:val="none"/>
        </w:rPr>
        <w:t>本文件由中国电机工程学会水电设备标准专业委员会技术归口和解释。</w:t>
      </w:r>
    </w:p>
    <w:p>
      <w:pPr>
        <w:ind w:firstLine="420" w:firstLineChars="200"/>
        <w:rPr>
          <w:color w:val="auto"/>
          <w:highlight w:val="none"/>
        </w:rPr>
      </w:pPr>
      <w:r>
        <w:rPr>
          <w:color w:val="auto"/>
          <w:highlight w:val="none"/>
        </w:rPr>
        <w:t>本文件起草单位：</w:t>
      </w:r>
      <w:r>
        <w:rPr>
          <w:rFonts w:hint="eastAsia"/>
          <w:color w:val="auto"/>
          <w:highlight w:val="none"/>
        </w:rPr>
        <w:t>、、、</w:t>
      </w:r>
      <w:r>
        <w:rPr>
          <w:color w:val="auto"/>
          <w:highlight w:val="none"/>
        </w:rPr>
        <w:t>。</w:t>
      </w:r>
    </w:p>
    <w:p>
      <w:pPr>
        <w:ind w:firstLine="420" w:firstLineChars="200"/>
        <w:rPr>
          <w:color w:val="auto"/>
          <w:highlight w:val="none"/>
        </w:rPr>
      </w:pPr>
      <w:r>
        <w:rPr>
          <w:color w:val="auto"/>
          <w:highlight w:val="none"/>
        </w:rPr>
        <w:t>本文件主要起草人：</w:t>
      </w:r>
      <w:r>
        <w:rPr>
          <w:rFonts w:hint="eastAsia"/>
          <w:color w:val="auto"/>
          <w:highlight w:val="none"/>
        </w:rPr>
        <w:t>、、、。</w:t>
      </w:r>
    </w:p>
    <w:p>
      <w:pPr>
        <w:pStyle w:val="11"/>
        <w:spacing w:after="0"/>
        <w:ind w:firstLineChars="200"/>
        <w:rPr>
          <w:rFonts w:hint="eastAsia" w:ascii="宋体" w:hAnsi="宋体" w:eastAsia="宋体" w:cs="宋体"/>
          <w:color w:val="auto"/>
          <w:szCs w:val="21"/>
          <w:highlight w:val="none"/>
        </w:rPr>
      </w:pPr>
      <w:r>
        <w:rPr>
          <w:color w:val="auto"/>
          <w:highlight w:val="none"/>
        </w:rPr>
        <w:t>本文件首次发布。</w:t>
      </w:r>
    </w:p>
    <w:p>
      <w:pPr>
        <w:pStyle w:val="11"/>
        <w:spacing w:after="0"/>
        <w:ind w:firstLineChars="200"/>
        <w:rPr>
          <w:rFonts w:hint="eastAsia" w:ascii="宋体" w:hAnsi="宋体" w:eastAsia="宋体" w:cs="宋体"/>
          <w:color w:val="auto"/>
          <w:szCs w:val="21"/>
          <w:highlight w:val="none"/>
        </w:rPr>
      </w:pPr>
      <w:r>
        <w:rPr>
          <w:rFonts w:hint="eastAsia" w:ascii="宋体" w:hAnsi="宋体"/>
          <w:color w:val="auto"/>
          <w:highlight w:val="none"/>
        </w:rPr>
        <w:t>本文件在执行过程中的意见或建议反馈至中国电机工程学会标准执行办公室（地址：北京市西城区白广路二条1 号，100761，网址：http：//www.csee.org.cn，邮箱：</w:t>
      </w:r>
      <w:r>
        <w:rPr>
          <w:color w:val="auto"/>
          <w:highlight w:val="none"/>
        </w:rPr>
        <w:fldChar w:fldCharType="begin"/>
      </w:r>
      <w:r>
        <w:rPr>
          <w:color w:val="auto"/>
          <w:highlight w:val="none"/>
        </w:rPr>
        <w:instrText xml:space="preserve"> HYPERLINK "mailto:cseebz@csee.org.cn" </w:instrText>
      </w:r>
      <w:r>
        <w:rPr>
          <w:color w:val="auto"/>
          <w:highlight w:val="none"/>
        </w:rPr>
        <w:fldChar w:fldCharType="separate"/>
      </w:r>
      <w:r>
        <w:rPr>
          <w:rStyle w:val="16"/>
          <w:rFonts w:hint="eastAsia" w:ascii="宋体" w:hAnsi="宋体"/>
          <w:highlight w:val="none"/>
        </w:rPr>
        <w:t>cseebz@csee.org.cn</w:t>
      </w:r>
      <w:r>
        <w:rPr>
          <w:rStyle w:val="16"/>
          <w:rFonts w:ascii="宋体" w:hAnsi="宋体"/>
          <w:highlight w:val="none"/>
        </w:rPr>
        <w:fldChar w:fldCharType="end"/>
      </w:r>
      <w:r>
        <w:rPr>
          <w:rFonts w:hint="eastAsia" w:ascii="宋体" w:hAnsi="宋体"/>
          <w:color w:val="auto"/>
          <w:highlight w:val="none"/>
        </w:rPr>
        <w:t>）。</w:t>
      </w:r>
    </w:p>
    <w:p>
      <w:pPr>
        <w:pStyle w:val="11"/>
        <w:spacing w:after="0"/>
        <w:ind w:firstLineChars="200"/>
        <w:rPr>
          <w:rFonts w:hint="eastAsia" w:ascii="宋体" w:hAnsi="宋体" w:eastAsia="宋体" w:cs="宋体"/>
          <w:color w:val="auto"/>
          <w:szCs w:val="21"/>
          <w:highlight w:val="none"/>
        </w:rPr>
      </w:pPr>
    </w:p>
    <w:p>
      <w:pPr>
        <w:pStyle w:val="11"/>
        <w:spacing w:after="0"/>
        <w:ind w:firstLineChars="200"/>
        <w:rPr>
          <w:rFonts w:hint="eastAsia" w:ascii="宋体" w:hAnsi="宋体" w:eastAsia="宋体" w:cs="宋体"/>
          <w:color w:val="auto"/>
          <w:szCs w:val="21"/>
          <w:highlight w:val="none"/>
        </w:rPr>
      </w:pPr>
    </w:p>
    <w:p>
      <w:pPr>
        <w:ind w:firstLine="420" w:firstLineChars="200"/>
        <w:rPr>
          <w:rFonts w:hint="eastAsia" w:ascii="宋体" w:hAnsi="宋体" w:eastAsia="宋体" w:cs="宋体"/>
          <w:color w:val="auto"/>
          <w:szCs w:val="21"/>
          <w:highlight w:val="none"/>
        </w:rPr>
      </w:pPr>
    </w:p>
    <w:p>
      <w:pPr>
        <w:ind w:firstLine="420" w:firstLineChars="200"/>
        <w:rPr>
          <w:highlight w:val="none"/>
        </w:rPr>
      </w:pPr>
    </w:p>
    <w:p>
      <w:pPr>
        <w:ind w:firstLine="420" w:firstLineChars="200"/>
        <w:rPr>
          <w:highlight w:val="none"/>
        </w:rPr>
      </w:pPr>
    </w:p>
    <w:p>
      <w:pPr>
        <w:ind w:firstLine="420" w:firstLineChars="200"/>
        <w:rPr>
          <w:highlight w:val="none"/>
        </w:rPr>
      </w:pPr>
    </w:p>
    <w:p>
      <w:pPr>
        <w:ind w:firstLine="420" w:firstLineChars="200"/>
        <w:rPr>
          <w:highlight w:val="none"/>
        </w:rPr>
      </w:pPr>
    </w:p>
    <w:p>
      <w:pPr>
        <w:ind w:firstLine="420" w:firstLineChars="200"/>
        <w:rPr>
          <w:highlight w:val="none"/>
        </w:rPr>
      </w:pPr>
    </w:p>
    <w:p>
      <w:pPr>
        <w:ind w:firstLine="420" w:firstLineChars="200"/>
        <w:rPr>
          <w:rFonts w:hint="eastAsia" w:ascii="宋体" w:hAnsi="宋体" w:eastAsia="宋体" w:cs="宋体"/>
          <w:color w:val="auto"/>
          <w:szCs w:val="21"/>
          <w:highlight w:val="none"/>
        </w:rPr>
      </w:pPr>
    </w:p>
    <w:p>
      <w:pPr>
        <w:ind w:firstLine="200"/>
        <w:rPr>
          <w:rFonts w:ascii="宋体" w:hAnsi="宋体" w:eastAsia="宋体"/>
          <w:color w:val="auto"/>
          <w:szCs w:val="21"/>
          <w:highlight w:val="none"/>
        </w:rPr>
      </w:pPr>
      <w:r>
        <w:rPr>
          <w:rFonts w:ascii="宋体" w:hAnsi="宋体" w:eastAsia="宋体"/>
          <w:color w:val="auto"/>
          <w:szCs w:val="21"/>
          <w:highlight w:val="none"/>
        </w:rPr>
        <w:br w:type="page"/>
      </w:r>
    </w:p>
    <w:p>
      <w:pPr>
        <w:pStyle w:val="18"/>
        <w:spacing w:after="200"/>
        <w:ind w:firstLine="0"/>
        <w:jc w:val="center"/>
        <w:rPr>
          <w:rFonts w:eastAsia="黑体"/>
          <w:b/>
          <w:color w:val="auto"/>
          <w:sz w:val="36"/>
          <w:szCs w:val="36"/>
          <w:highlight w:val="none"/>
        </w:rPr>
        <w:sectPr>
          <w:footerReference r:id="rId11" w:type="default"/>
          <w:pgSz w:w="11907" w:h="16840"/>
          <w:pgMar w:top="1418" w:right="1134" w:bottom="1134" w:left="1418" w:header="1418" w:footer="1134" w:gutter="0"/>
          <w:pgNumType w:fmt="upperRoman"/>
          <w:cols w:space="720" w:num="1"/>
          <w:docGrid w:linePitch="312" w:charSpace="0"/>
        </w:sectPr>
      </w:pPr>
    </w:p>
    <w:p>
      <w:pPr>
        <w:pStyle w:val="19"/>
        <w:spacing w:after="100" w:line="288" w:lineRule="auto"/>
        <w:jc w:val="center"/>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立式水轮发电机非承重机架模态测试技术导则</w:t>
      </w:r>
    </w:p>
    <w:p>
      <w:pPr>
        <w:pStyle w:val="18"/>
        <w:numPr>
          <w:ilvl w:val="0"/>
          <w:numId w:val="1"/>
        </w:numPr>
        <w:spacing w:beforeLines="100" w:afterLines="100" w:line="240" w:lineRule="auto"/>
        <w:ind w:left="0" w:firstLine="0"/>
        <w:jc w:val="left"/>
        <w:outlineLvl w:val="1"/>
        <w:rPr>
          <w:rFonts w:ascii="黑体" w:hAnsi="黑体" w:eastAsia="黑体" w:cs="黑体"/>
          <w:bCs/>
          <w:color w:val="auto"/>
          <w:sz w:val="21"/>
          <w:szCs w:val="21"/>
          <w:highlight w:val="none"/>
        </w:rPr>
      </w:pPr>
      <w:bookmarkStart w:id="9" w:name="_Toc9980"/>
      <w:bookmarkStart w:id="10" w:name="_Toc20359"/>
      <w:bookmarkStart w:id="11" w:name="_Toc21578"/>
      <w:bookmarkStart w:id="12" w:name="_Toc17709"/>
      <w:bookmarkStart w:id="13" w:name="_Toc31243"/>
      <w:bookmarkStart w:id="14" w:name="_Toc24411"/>
      <w:r>
        <w:rPr>
          <w:rFonts w:hint="eastAsia" w:ascii="黑体" w:hAnsi="黑体" w:eastAsia="黑体" w:cs="黑体"/>
          <w:bCs/>
          <w:color w:val="auto"/>
          <w:sz w:val="21"/>
          <w:szCs w:val="21"/>
          <w:highlight w:val="none"/>
        </w:rPr>
        <w:t xml:space="preserve"> </w:t>
      </w:r>
      <w:bookmarkStart w:id="15" w:name="_Toc12082"/>
      <w:r>
        <w:rPr>
          <w:rFonts w:hint="eastAsia" w:ascii="黑体" w:hAnsi="黑体" w:eastAsia="黑体" w:cs="黑体"/>
          <w:bCs/>
          <w:color w:val="auto"/>
          <w:sz w:val="21"/>
          <w:szCs w:val="21"/>
          <w:highlight w:val="none"/>
        </w:rPr>
        <w:t>范围</w:t>
      </w:r>
      <w:bookmarkEnd w:id="9"/>
      <w:bookmarkEnd w:id="10"/>
      <w:bookmarkEnd w:id="11"/>
      <w:bookmarkEnd w:id="12"/>
      <w:bookmarkEnd w:id="13"/>
      <w:bookmarkEnd w:id="14"/>
      <w:bookmarkEnd w:id="15"/>
    </w:p>
    <w:p>
      <w:pPr>
        <w:pStyle w:val="18"/>
        <w:spacing w:after="0" w:line="240" w:lineRule="auto"/>
        <w:ind w:firstLine="420" w:firstLineChars="200"/>
        <w:jc w:val="left"/>
        <w:rPr>
          <w:color w:val="auto"/>
          <w:sz w:val="21"/>
          <w:szCs w:val="21"/>
          <w:highlight w:val="none"/>
        </w:rPr>
      </w:pPr>
      <w:r>
        <w:rPr>
          <w:rFonts w:hint="eastAsia"/>
          <w:color w:val="auto"/>
          <w:sz w:val="21"/>
          <w:szCs w:val="21"/>
          <w:highlight w:val="none"/>
        </w:rPr>
        <w:t>本文件</w:t>
      </w:r>
      <w:r>
        <w:rPr>
          <w:color w:val="auto"/>
          <w:sz w:val="21"/>
          <w:szCs w:val="21"/>
          <w:highlight w:val="none"/>
        </w:rPr>
        <w:t>规定了</w:t>
      </w:r>
      <w:r>
        <w:rPr>
          <w:rFonts w:hint="eastAsia"/>
          <w:color w:val="auto"/>
          <w:sz w:val="21"/>
          <w:szCs w:val="21"/>
          <w:highlight w:val="none"/>
          <w:lang w:eastAsia="zh-CN"/>
        </w:rPr>
        <w:t>立式水轮发电机非承重机架模态测试</w:t>
      </w:r>
      <w:r>
        <w:rPr>
          <w:rFonts w:hint="eastAsia"/>
          <w:color w:val="auto"/>
          <w:sz w:val="21"/>
          <w:szCs w:val="21"/>
          <w:highlight w:val="none"/>
          <w:lang w:val="en-US" w:eastAsia="zh-CN"/>
        </w:rPr>
        <w:t>方法</w:t>
      </w:r>
      <w:r>
        <w:rPr>
          <w:color w:val="auto"/>
          <w:sz w:val="21"/>
          <w:szCs w:val="21"/>
          <w:highlight w:val="none"/>
        </w:rPr>
        <w:t>。</w:t>
      </w:r>
    </w:p>
    <w:p>
      <w:pPr>
        <w:pStyle w:val="18"/>
        <w:spacing w:after="0" w:line="288" w:lineRule="auto"/>
        <w:rPr>
          <w:color w:val="auto"/>
          <w:sz w:val="21"/>
          <w:szCs w:val="21"/>
          <w:highlight w:val="none"/>
        </w:rPr>
      </w:pPr>
      <w:r>
        <w:rPr>
          <w:rFonts w:hint="eastAsia"/>
          <w:color w:val="auto"/>
          <w:sz w:val="21"/>
          <w:szCs w:val="21"/>
          <w:highlight w:val="none"/>
        </w:rPr>
        <w:t>本文件</w:t>
      </w:r>
      <w:r>
        <w:rPr>
          <w:color w:val="auto"/>
          <w:sz w:val="21"/>
          <w:szCs w:val="21"/>
          <w:highlight w:val="none"/>
        </w:rPr>
        <w:t>适用于</w:t>
      </w:r>
      <w:r>
        <w:rPr>
          <w:rFonts w:hint="eastAsia"/>
          <w:color w:val="auto"/>
          <w:sz w:val="21"/>
          <w:szCs w:val="21"/>
          <w:highlight w:val="none"/>
        </w:rPr>
        <w:t>单机容量15MW及以上</w:t>
      </w:r>
      <w:r>
        <w:rPr>
          <w:rFonts w:hint="eastAsia"/>
          <w:color w:val="auto"/>
          <w:sz w:val="21"/>
          <w:szCs w:val="21"/>
          <w:highlight w:val="none"/>
          <w:lang w:eastAsia="zh-CN"/>
        </w:rPr>
        <w:t>立式水轮发电机</w:t>
      </w:r>
      <w:r>
        <w:rPr>
          <w:rFonts w:hint="eastAsia"/>
          <w:color w:val="auto"/>
          <w:sz w:val="21"/>
          <w:szCs w:val="21"/>
          <w:highlight w:val="none"/>
        </w:rPr>
        <w:t>，15MW以下机组可参照本文件执行。</w:t>
      </w:r>
    </w:p>
    <w:p>
      <w:pPr>
        <w:pStyle w:val="18"/>
        <w:numPr>
          <w:ilvl w:val="0"/>
          <w:numId w:val="1"/>
        </w:numPr>
        <w:spacing w:beforeLines="100" w:afterLines="100" w:line="240" w:lineRule="auto"/>
        <w:ind w:left="0" w:firstLine="0"/>
        <w:jc w:val="left"/>
        <w:outlineLvl w:val="1"/>
        <w:rPr>
          <w:rFonts w:ascii="黑体" w:hAnsi="黑体" w:eastAsia="黑体" w:cs="黑体"/>
          <w:bCs/>
          <w:color w:val="auto"/>
          <w:sz w:val="21"/>
          <w:szCs w:val="21"/>
          <w:highlight w:val="none"/>
        </w:rPr>
      </w:pPr>
      <w:bookmarkStart w:id="16" w:name="_Toc28679"/>
      <w:bookmarkStart w:id="17" w:name="_Toc657"/>
      <w:bookmarkStart w:id="18" w:name="_Toc5434"/>
      <w:bookmarkStart w:id="19" w:name="_Toc10850"/>
      <w:r>
        <w:rPr>
          <w:rFonts w:hint="eastAsia" w:ascii="黑体" w:hAnsi="黑体" w:eastAsia="黑体" w:cs="黑体"/>
          <w:bCs/>
          <w:color w:val="auto"/>
          <w:sz w:val="21"/>
          <w:szCs w:val="21"/>
          <w:highlight w:val="none"/>
        </w:rPr>
        <w:t xml:space="preserve"> </w:t>
      </w:r>
      <w:bookmarkStart w:id="20" w:name="_Toc23709"/>
      <w:r>
        <w:rPr>
          <w:rFonts w:hint="eastAsia" w:ascii="黑体" w:hAnsi="黑体" w:eastAsia="黑体" w:cs="黑体"/>
          <w:bCs/>
          <w:color w:val="auto"/>
          <w:sz w:val="21"/>
          <w:szCs w:val="21"/>
          <w:highlight w:val="none"/>
        </w:rPr>
        <w:t>规范性引用文件</w:t>
      </w:r>
      <w:bookmarkEnd w:id="16"/>
      <w:bookmarkEnd w:id="17"/>
      <w:bookmarkEnd w:id="18"/>
      <w:bookmarkEnd w:id="19"/>
      <w:bookmarkEnd w:id="20"/>
    </w:p>
    <w:p>
      <w:pPr>
        <w:pStyle w:val="18"/>
        <w:spacing w:after="0" w:line="240" w:lineRule="auto"/>
        <w:ind w:firstLine="420" w:firstLineChars="200"/>
        <w:jc w:val="left"/>
        <w:rPr>
          <w:rFonts w:hint="eastAsia"/>
          <w:color w:val="auto"/>
          <w:sz w:val="21"/>
          <w:szCs w:val="21"/>
          <w:highlight w:val="none"/>
        </w:rPr>
      </w:pPr>
      <w:r>
        <w:rPr>
          <w:rFonts w:hint="eastAsia"/>
          <w:color w:val="auto"/>
          <w:sz w:val="21"/>
          <w:szCs w:val="21"/>
          <w:highlight w:val="none"/>
        </w:rPr>
        <w:t>下列文件对于本文件的应用是必不可少的。凡是注日期的引用文件，仅注日期的版本适用于本文件。 凡是不注日期的引用文件，其最新版本（包括所有的修改单）适用于本文件。</w:t>
      </w:r>
    </w:p>
    <w:p>
      <w:pPr>
        <w:keepNext w:val="0"/>
        <w:keepLines w:val="0"/>
        <w:widowControl/>
        <w:suppressLineNumbers w:val="0"/>
        <w:ind w:firstLine="420" w:firstLineChars="200"/>
        <w:jc w:val="left"/>
        <w:rPr>
          <w:rFonts w:ascii="Times New Roman" w:cs="Times New Roman"/>
          <w:color w:val="auto"/>
          <w:sz w:val="21"/>
          <w:szCs w:val="21"/>
          <w:highlight w:val="none"/>
        </w:rPr>
      </w:pPr>
      <w:r>
        <w:rPr>
          <w:rFonts w:ascii="Times New Roman" w:hAnsi="Times New Roman" w:cs="Times New Roman"/>
          <w:color w:val="auto"/>
          <w:sz w:val="21"/>
          <w:szCs w:val="21"/>
          <w:highlight w:val="none"/>
        </w:rPr>
        <w:t xml:space="preserve">GB/T 2298     </w:t>
      </w:r>
      <w:r>
        <w:rPr>
          <w:rFonts w:ascii="Times New Roman" w:cs="Times New Roman"/>
          <w:color w:val="auto"/>
          <w:sz w:val="21"/>
          <w:szCs w:val="21"/>
          <w:highlight w:val="none"/>
        </w:rPr>
        <w:t>机械振动、冲击与状态</w:t>
      </w:r>
      <w:r>
        <w:rPr>
          <w:rFonts w:hint="eastAsia" w:ascii="Times New Roman" w:cs="Times New Roman"/>
          <w:color w:val="auto"/>
          <w:sz w:val="21"/>
          <w:szCs w:val="21"/>
          <w:highlight w:val="none"/>
          <w:lang w:val="en-US" w:eastAsia="zh-CN"/>
        </w:rPr>
        <w:t>监测 词汇</w:t>
      </w:r>
    </w:p>
    <w:p>
      <w:pPr>
        <w:pStyle w:val="18"/>
        <w:spacing w:after="0" w:line="240" w:lineRule="auto"/>
        <w:ind w:firstLine="420" w:firstLineChars="200"/>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GB/T 8564     </w:t>
      </w:r>
      <w:r>
        <w:rPr>
          <w:rFonts w:ascii="Times New Roman" w:cs="Times New Roman"/>
          <w:color w:val="auto"/>
          <w:sz w:val="21"/>
          <w:szCs w:val="21"/>
          <w:highlight w:val="none"/>
        </w:rPr>
        <w:t>水轮发电机组安装技术规范</w:t>
      </w:r>
    </w:p>
    <w:p>
      <w:pPr>
        <w:pStyle w:val="18"/>
        <w:spacing w:after="0" w:line="240" w:lineRule="auto"/>
        <w:ind w:firstLine="420" w:firstLineChars="200"/>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GB/T 11349.1  </w:t>
      </w:r>
      <w:r>
        <w:rPr>
          <w:rFonts w:ascii="Times New Roman" w:cs="Times New Roman"/>
          <w:color w:val="auto"/>
          <w:sz w:val="21"/>
          <w:szCs w:val="21"/>
          <w:highlight w:val="none"/>
        </w:rPr>
        <w:t>机械导纳的试验确定</w:t>
      </w:r>
      <w:r>
        <w:rPr>
          <w:rFonts w:hint="eastAsia" w:ascii="宋体" w:hAnsi="宋体" w:eastAsia="宋体" w:cs="宋体"/>
          <w:color w:val="auto"/>
          <w:sz w:val="21"/>
          <w:szCs w:val="21"/>
          <w:highlight w:val="none"/>
          <w:lang w:val="en-US" w:eastAsia="zh-CN"/>
        </w:rPr>
        <w:t xml:space="preserve"> </w:t>
      </w:r>
      <w:r>
        <w:rPr>
          <w:rFonts w:ascii="Times New Roman" w:cs="Times New Roman"/>
          <w:color w:val="auto"/>
          <w:sz w:val="21"/>
          <w:szCs w:val="21"/>
          <w:highlight w:val="none"/>
        </w:rPr>
        <w:t>第</w:t>
      </w:r>
      <w:r>
        <w:rPr>
          <w:rFonts w:ascii="Times New Roman" w:hAnsi="Times New Roman" w:cs="Times New Roman"/>
          <w:color w:val="auto"/>
          <w:sz w:val="21"/>
          <w:szCs w:val="21"/>
          <w:highlight w:val="none"/>
        </w:rPr>
        <w:t>1</w:t>
      </w:r>
      <w:r>
        <w:rPr>
          <w:rFonts w:ascii="Times New Roman" w:cs="Times New Roman"/>
          <w:color w:val="auto"/>
          <w:sz w:val="21"/>
          <w:szCs w:val="21"/>
          <w:highlight w:val="none"/>
        </w:rPr>
        <w:t>部分：基本术语与定义、传感器特性</w:t>
      </w:r>
    </w:p>
    <w:p>
      <w:pPr>
        <w:pStyle w:val="18"/>
        <w:spacing w:after="0" w:line="240" w:lineRule="auto"/>
        <w:ind w:firstLine="420" w:firstLineChars="200"/>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GB/T 19847    </w:t>
      </w:r>
      <w:r>
        <w:rPr>
          <w:rFonts w:ascii="Times New Roman" w:cs="Times New Roman"/>
          <w:color w:val="auto"/>
          <w:sz w:val="21"/>
          <w:szCs w:val="21"/>
          <w:highlight w:val="none"/>
        </w:rPr>
        <w:t>机械振动和冲击评价机械系统冲击阻抗的分析方法分析的提供者和使用者之间的信息交换</w:t>
      </w:r>
    </w:p>
    <w:p>
      <w:pPr>
        <w:pStyle w:val="18"/>
        <w:spacing w:after="0" w:line="240" w:lineRule="auto"/>
        <w:ind w:firstLine="420" w:firstLineChars="200"/>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GB/T 32584    </w:t>
      </w:r>
      <w:r>
        <w:rPr>
          <w:rFonts w:ascii="Times New Roman" w:cs="Times New Roman"/>
          <w:color w:val="auto"/>
          <w:sz w:val="21"/>
          <w:szCs w:val="21"/>
          <w:highlight w:val="none"/>
        </w:rPr>
        <w:t>水力发电厂和蓄能泵站机组机械振动的评定</w:t>
      </w:r>
    </w:p>
    <w:p>
      <w:pPr>
        <w:pStyle w:val="18"/>
        <w:numPr>
          <w:ilvl w:val="0"/>
          <w:numId w:val="1"/>
        </w:numPr>
        <w:spacing w:beforeLines="100" w:afterLines="100" w:line="240" w:lineRule="auto"/>
        <w:ind w:left="0" w:firstLine="0"/>
        <w:jc w:val="left"/>
        <w:outlineLvl w:val="1"/>
        <w:rPr>
          <w:rFonts w:ascii="黑体" w:hAnsi="黑体" w:eastAsia="黑体" w:cs="黑体"/>
          <w:bCs/>
          <w:color w:val="auto"/>
          <w:sz w:val="21"/>
          <w:szCs w:val="21"/>
          <w:highlight w:val="none"/>
        </w:rPr>
      </w:pPr>
      <w:bookmarkStart w:id="21" w:name="_Toc1243"/>
      <w:bookmarkStart w:id="22" w:name="_Toc16394"/>
      <w:bookmarkStart w:id="23" w:name="_Toc29405"/>
      <w:bookmarkStart w:id="24" w:name="_Toc18351"/>
      <w:bookmarkStart w:id="25" w:name="_Toc14661"/>
      <w:bookmarkStart w:id="26" w:name="_Toc16431"/>
      <w:r>
        <w:rPr>
          <w:rFonts w:hint="eastAsia" w:ascii="黑体" w:hAnsi="黑体" w:eastAsia="黑体" w:cs="黑体"/>
          <w:bCs/>
          <w:color w:val="auto"/>
          <w:sz w:val="21"/>
          <w:szCs w:val="21"/>
          <w:highlight w:val="none"/>
        </w:rPr>
        <w:t xml:space="preserve"> </w:t>
      </w:r>
      <w:bookmarkStart w:id="27" w:name="_Toc19385"/>
      <w:r>
        <w:rPr>
          <w:rFonts w:hint="eastAsia" w:ascii="黑体" w:hAnsi="黑体" w:eastAsia="黑体" w:cs="黑体"/>
          <w:bCs/>
          <w:color w:val="auto"/>
          <w:sz w:val="21"/>
          <w:szCs w:val="21"/>
          <w:highlight w:val="none"/>
        </w:rPr>
        <w:t>术语及定义</w:t>
      </w:r>
      <w:bookmarkEnd w:id="21"/>
      <w:bookmarkEnd w:id="22"/>
      <w:bookmarkEnd w:id="23"/>
      <w:bookmarkEnd w:id="24"/>
      <w:bookmarkEnd w:id="25"/>
      <w:bookmarkEnd w:id="26"/>
      <w:bookmarkEnd w:id="27"/>
    </w:p>
    <w:p>
      <w:pPr>
        <w:pStyle w:val="18"/>
        <w:spacing w:after="0" w:line="240" w:lineRule="auto"/>
        <w:ind w:firstLine="420" w:firstLineChars="200"/>
        <w:jc w:val="left"/>
        <w:rPr>
          <w:rFonts w:ascii="Times New Roman" w:hAnsi="Times New Roman"/>
          <w:color w:val="auto"/>
          <w:sz w:val="21"/>
          <w:szCs w:val="21"/>
          <w:highlight w:val="none"/>
        </w:rPr>
      </w:pPr>
      <w:r>
        <w:rPr>
          <w:rFonts w:ascii="Times New Roman" w:hAnsi="Times New Roman"/>
          <w:color w:val="auto"/>
          <w:sz w:val="21"/>
          <w:szCs w:val="21"/>
          <w:highlight w:val="none"/>
        </w:rPr>
        <w:t>GB/T2298</w:t>
      </w:r>
      <w:r>
        <w:rPr>
          <w:rFonts w:hint="eastAsia" w:ascii="Times New Roman"/>
          <w:color w:val="auto"/>
          <w:sz w:val="21"/>
          <w:szCs w:val="21"/>
          <w:highlight w:val="none"/>
        </w:rPr>
        <w:t>、</w:t>
      </w:r>
      <w:r>
        <w:rPr>
          <w:rFonts w:ascii="Times New Roman" w:hAnsi="Times New Roman"/>
          <w:color w:val="auto"/>
          <w:sz w:val="21"/>
          <w:szCs w:val="21"/>
          <w:highlight w:val="none"/>
        </w:rPr>
        <w:t>GB/T 8564</w:t>
      </w:r>
      <w:r>
        <w:rPr>
          <w:rFonts w:hint="eastAsia" w:ascii="Times New Roman"/>
          <w:color w:val="auto"/>
          <w:sz w:val="21"/>
          <w:szCs w:val="21"/>
          <w:highlight w:val="none"/>
        </w:rPr>
        <w:t>、</w:t>
      </w:r>
      <w:r>
        <w:rPr>
          <w:rFonts w:ascii="Times New Roman" w:hAnsi="Times New Roman"/>
          <w:color w:val="auto"/>
          <w:sz w:val="21"/>
          <w:szCs w:val="21"/>
          <w:highlight w:val="none"/>
        </w:rPr>
        <w:t>GB/T11349.1</w:t>
      </w:r>
      <w:r>
        <w:rPr>
          <w:rFonts w:hint="eastAsia" w:ascii="Times New Roman"/>
          <w:color w:val="auto"/>
          <w:sz w:val="21"/>
          <w:szCs w:val="21"/>
          <w:highlight w:val="none"/>
        </w:rPr>
        <w:t>、</w:t>
      </w:r>
      <w:r>
        <w:rPr>
          <w:rFonts w:ascii="Times New Roman" w:hAnsi="Times New Roman"/>
          <w:color w:val="auto"/>
          <w:sz w:val="21"/>
          <w:szCs w:val="21"/>
          <w:highlight w:val="none"/>
        </w:rPr>
        <w:t>GB/T 19847</w:t>
      </w:r>
      <w:r>
        <w:rPr>
          <w:rFonts w:hint="eastAsia" w:ascii="Times New Roman"/>
          <w:color w:val="auto"/>
          <w:sz w:val="21"/>
          <w:szCs w:val="21"/>
          <w:highlight w:val="none"/>
          <w:lang w:val="en-US" w:eastAsia="zh-CN"/>
        </w:rPr>
        <w:t>、</w:t>
      </w:r>
      <w:r>
        <w:rPr>
          <w:rFonts w:ascii="Times New Roman" w:hAnsi="Times New Roman"/>
          <w:color w:val="auto"/>
          <w:sz w:val="21"/>
          <w:szCs w:val="21"/>
          <w:highlight w:val="none"/>
        </w:rPr>
        <w:t>GB/T 32584</w:t>
      </w:r>
      <w:r>
        <w:rPr>
          <w:rFonts w:hint="eastAsia" w:ascii="Times New Roman"/>
          <w:color w:val="auto"/>
          <w:sz w:val="21"/>
          <w:szCs w:val="21"/>
          <w:highlight w:val="none"/>
        </w:rPr>
        <w:t>界定的以及下列术语和定义适用于本文件。</w:t>
      </w:r>
    </w:p>
    <w:p>
      <w:pPr>
        <w:pStyle w:val="19"/>
        <w:numPr>
          <w:ilvl w:val="0"/>
          <w:numId w:val="2"/>
        </w:numPr>
        <w:spacing w:after="100" w:line="288" w:lineRule="auto"/>
        <w:rPr>
          <w:rFonts w:ascii="黑体" w:hAnsi="黑体" w:eastAsia="黑体" w:cs="黑体"/>
          <w:b/>
          <w:bCs/>
          <w:color w:val="auto"/>
          <w:sz w:val="21"/>
          <w:szCs w:val="21"/>
          <w:highlight w:val="none"/>
        </w:rPr>
      </w:pPr>
    </w:p>
    <w:p>
      <w:pPr>
        <w:pStyle w:val="19"/>
        <w:ind w:firstLine="420" w:firstLineChars="200"/>
        <w:rPr>
          <w:rFonts w:eastAsia="宋体"/>
          <w:color w:val="auto"/>
          <w:sz w:val="21"/>
          <w:szCs w:val="21"/>
          <w:highlight w:val="none"/>
        </w:rPr>
      </w:pPr>
      <w:r>
        <w:rPr>
          <w:rFonts w:hint="eastAsia" w:hAnsi="黑体" w:eastAsia="黑体"/>
          <w:color w:val="auto"/>
          <w:sz w:val="21"/>
          <w:szCs w:val="21"/>
          <w:highlight w:val="none"/>
        </w:rPr>
        <w:t>模态分析</w:t>
      </w:r>
      <w:r>
        <w:rPr>
          <w:rFonts w:eastAsia="黑体"/>
          <w:color w:val="auto"/>
          <w:sz w:val="21"/>
          <w:szCs w:val="21"/>
          <w:highlight w:val="none"/>
        </w:rPr>
        <w:t xml:space="preserve"> mod</w:t>
      </w:r>
      <w:r>
        <w:rPr>
          <w:rFonts w:hint="eastAsia" w:eastAsia="黑体"/>
          <w:color w:val="auto"/>
          <w:sz w:val="21"/>
          <w:szCs w:val="21"/>
          <w:highlight w:val="none"/>
          <w:lang w:val="en-US" w:eastAsia="zh-CN"/>
        </w:rPr>
        <w:t>a</w:t>
      </w:r>
      <w:r>
        <w:rPr>
          <w:rFonts w:eastAsia="黑体"/>
          <w:color w:val="auto"/>
          <w:sz w:val="21"/>
          <w:szCs w:val="21"/>
          <w:highlight w:val="none"/>
        </w:rPr>
        <w:t>l analysis</w:t>
      </w:r>
    </w:p>
    <w:p>
      <w:pPr>
        <w:pStyle w:val="19"/>
        <w:ind w:firstLine="420" w:firstLineChars="200"/>
        <w:rPr>
          <w:rFonts w:eastAsia="宋体"/>
          <w:color w:val="auto"/>
          <w:sz w:val="21"/>
          <w:szCs w:val="21"/>
          <w:highlight w:val="none"/>
        </w:rPr>
      </w:pPr>
      <w:r>
        <w:rPr>
          <w:rFonts w:hint="eastAsia" w:hAnsi="宋体" w:eastAsia="宋体"/>
          <w:color w:val="auto"/>
          <w:sz w:val="21"/>
          <w:szCs w:val="21"/>
          <w:highlight w:val="none"/>
        </w:rPr>
        <w:t>基于叠加原理的振动分析方法，用复杂结构系统自身的振动模态，即固有频率、模态阻尼和模态振型来表示其振动特性。</w:t>
      </w:r>
    </w:p>
    <w:p>
      <w:pPr>
        <w:pStyle w:val="19"/>
        <w:ind w:firstLine="420" w:firstLineChars="200"/>
        <w:rPr>
          <w:rFonts w:eastAsia="宋体"/>
          <w:color w:val="auto"/>
          <w:sz w:val="21"/>
          <w:szCs w:val="21"/>
          <w:highlight w:val="none"/>
        </w:rPr>
      </w:pPr>
      <w:r>
        <w:rPr>
          <w:rFonts w:eastAsia="宋体"/>
          <w:color w:val="auto"/>
          <w:sz w:val="21"/>
          <w:szCs w:val="21"/>
          <w:highlight w:val="none"/>
        </w:rPr>
        <w:t>[</w:t>
      </w:r>
      <w:r>
        <w:rPr>
          <w:rFonts w:hint="eastAsia" w:hAnsi="宋体" w:eastAsia="宋体"/>
          <w:color w:val="auto"/>
          <w:sz w:val="21"/>
          <w:szCs w:val="21"/>
          <w:highlight w:val="none"/>
        </w:rPr>
        <w:t>来源：</w:t>
      </w:r>
      <w:r>
        <w:rPr>
          <w:rFonts w:eastAsia="宋体"/>
          <w:color w:val="auto"/>
          <w:sz w:val="21"/>
          <w:szCs w:val="21"/>
          <w:highlight w:val="none"/>
        </w:rPr>
        <w:t>GB/T2298-2010</w:t>
      </w:r>
      <w:r>
        <w:rPr>
          <w:rFonts w:hint="eastAsia" w:hAnsi="宋体" w:eastAsia="宋体"/>
          <w:color w:val="auto"/>
          <w:sz w:val="21"/>
          <w:szCs w:val="21"/>
          <w:highlight w:val="none"/>
        </w:rPr>
        <w:t>，</w:t>
      </w:r>
      <w:r>
        <w:rPr>
          <w:rFonts w:eastAsia="宋体"/>
          <w:color w:val="auto"/>
          <w:sz w:val="21"/>
          <w:szCs w:val="21"/>
          <w:highlight w:val="none"/>
        </w:rPr>
        <w:t>2.44]</w:t>
      </w:r>
    </w:p>
    <w:p>
      <w:pPr>
        <w:pStyle w:val="19"/>
        <w:numPr>
          <w:ilvl w:val="0"/>
          <w:numId w:val="2"/>
        </w:numPr>
        <w:spacing w:after="100" w:line="288" w:lineRule="auto"/>
        <w:rPr>
          <w:rFonts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rPr>
        <w:t xml:space="preserve"> </w:t>
      </w:r>
    </w:p>
    <w:p>
      <w:pPr>
        <w:pStyle w:val="19"/>
        <w:ind w:firstLine="420"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固有频率 natural frequency</w:t>
      </w:r>
    </w:p>
    <w:p>
      <w:pPr>
        <w:pStyle w:val="19"/>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无阻尼线性振动系统的自由振动频率。</w:t>
      </w:r>
    </w:p>
    <w:p>
      <w:pPr>
        <w:pStyle w:val="19"/>
        <w:ind w:firstLine="420" w:firstLineChars="200"/>
        <w:rPr>
          <w:rFonts w:eastAsia="宋体"/>
          <w:color w:val="auto"/>
          <w:sz w:val="21"/>
          <w:szCs w:val="21"/>
          <w:highlight w:val="none"/>
        </w:rPr>
      </w:pPr>
      <w:r>
        <w:rPr>
          <w:rFonts w:eastAsia="宋体"/>
          <w:color w:val="auto"/>
          <w:sz w:val="21"/>
          <w:szCs w:val="21"/>
          <w:highlight w:val="none"/>
        </w:rPr>
        <w:t>[</w:t>
      </w:r>
      <w:r>
        <w:rPr>
          <w:rFonts w:hint="eastAsia" w:hAnsi="宋体" w:eastAsia="宋体"/>
          <w:color w:val="auto"/>
          <w:sz w:val="21"/>
          <w:szCs w:val="21"/>
          <w:highlight w:val="none"/>
        </w:rPr>
        <w:t>来源：</w:t>
      </w:r>
      <w:r>
        <w:rPr>
          <w:rFonts w:eastAsia="宋体"/>
          <w:color w:val="auto"/>
          <w:sz w:val="21"/>
          <w:szCs w:val="21"/>
          <w:highlight w:val="none"/>
        </w:rPr>
        <w:t>GB/T2298-2010</w:t>
      </w:r>
      <w:r>
        <w:rPr>
          <w:rFonts w:hint="eastAsia" w:hAnsi="宋体" w:eastAsia="宋体"/>
          <w:color w:val="auto"/>
          <w:sz w:val="21"/>
          <w:szCs w:val="21"/>
          <w:highlight w:val="none"/>
        </w:rPr>
        <w:t>，</w:t>
      </w:r>
      <w:r>
        <w:rPr>
          <w:rFonts w:eastAsia="宋体"/>
          <w:color w:val="auto"/>
          <w:sz w:val="21"/>
          <w:szCs w:val="21"/>
          <w:highlight w:val="none"/>
        </w:rPr>
        <w:t>3.88]</w:t>
      </w:r>
    </w:p>
    <w:p>
      <w:pPr>
        <w:pStyle w:val="19"/>
        <w:numPr>
          <w:ilvl w:val="0"/>
          <w:numId w:val="2"/>
        </w:numPr>
        <w:spacing w:after="100" w:line="288" w:lineRule="auto"/>
        <w:rPr>
          <w:rFonts w:ascii="黑体" w:hAnsi="黑体" w:eastAsia="黑体" w:cs="黑体"/>
          <w:b/>
          <w:bCs/>
          <w:color w:val="auto"/>
          <w:sz w:val="21"/>
          <w:szCs w:val="21"/>
          <w:highlight w:val="none"/>
        </w:rPr>
      </w:pPr>
    </w:p>
    <w:p>
      <w:pPr>
        <w:pStyle w:val="19"/>
        <w:ind w:firstLine="420"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模态振型 mod</w:t>
      </w:r>
      <w:r>
        <w:rPr>
          <w:rFonts w:hint="eastAsia" w:ascii="黑体" w:hAnsi="黑体" w:eastAsia="黑体" w:cs="黑体"/>
          <w:color w:val="auto"/>
          <w:sz w:val="21"/>
          <w:szCs w:val="21"/>
          <w:highlight w:val="none"/>
          <w:lang w:val="en-US" w:eastAsia="zh-CN"/>
        </w:rPr>
        <w:t>e</w:t>
      </w:r>
      <w:r>
        <w:rPr>
          <w:rFonts w:hint="eastAsia" w:ascii="黑体" w:hAnsi="黑体" w:eastAsia="黑体" w:cs="黑体"/>
          <w:color w:val="auto"/>
          <w:sz w:val="21"/>
          <w:szCs w:val="21"/>
          <w:highlight w:val="none"/>
        </w:rPr>
        <w:t xml:space="preserve"> shape</w:t>
      </w:r>
    </w:p>
    <w:p>
      <w:pPr>
        <w:pStyle w:val="19"/>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机械系统中某</w:t>
      </w:r>
      <w:r>
        <w:rPr>
          <w:rFonts w:hint="eastAsia" w:ascii="宋体" w:hAnsi="宋体" w:eastAsia="宋体" w:cs="宋体"/>
          <w:color w:val="auto"/>
          <w:sz w:val="21"/>
          <w:szCs w:val="21"/>
          <w:highlight w:val="none"/>
          <w:lang w:val="en-US" w:eastAsia="zh-CN"/>
        </w:rPr>
        <w:t>阶</w:t>
      </w:r>
      <w:r>
        <w:rPr>
          <w:rFonts w:hint="eastAsia" w:ascii="宋体" w:hAnsi="宋体" w:eastAsia="宋体" w:cs="宋体"/>
          <w:color w:val="auto"/>
          <w:sz w:val="21"/>
          <w:szCs w:val="21"/>
          <w:highlight w:val="none"/>
        </w:rPr>
        <w:t>固有模态振动的形状，是指由中性面（或中性轴）上的点偏离其平均值的最大位移值所描述的图像，各点</w:t>
      </w:r>
      <w:r>
        <w:rPr>
          <w:rFonts w:hint="eastAsia" w:ascii="宋体" w:hAnsi="宋体" w:eastAsia="宋体" w:cs="宋体"/>
          <w:color w:val="auto"/>
          <w:sz w:val="21"/>
          <w:szCs w:val="21"/>
          <w:highlight w:val="none"/>
          <w:lang w:val="en-US" w:eastAsia="zh-CN"/>
        </w:rPr>
        <w:t>位移值</w:t>
      </w:r>
      <w:r>
        <w:rPr>
          <w:rFonts w:hint="eastAsia" w:ascii="宋体" w:hAnsi="宋体" w:eastAsia="宋体" w:cs="宋体"/>
          <w:color w:val="auto"/>
          <w:sz w:val="21"/>
          <w:szCs w:val="21"/>
          <w:highlight w:val="none"/>
        </w:rPr>
        <w:t>通常</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选定点的偏离值进行归一化。</w:t>
      </w:r>
    </w:p>
    <w:p>
      <w:pPr>
        <w:pStyle w:val="19"/>
        <w:ind w:firstLine="420" w:firstLineChars="200"/>
        <w:rPr>
          <w:rFonts w:hint="default" w:eastAsia="宋体"/>
          <w:color w:val="auto"/>
          <w:sz w:val="21"/>
          <w:szCs w:val="21"/>
          <w:highlight w:val="none"/>
          <w:lang w:val="en-US" w:eastAsia="zh-CN"/>
        </w:rPr>
      </w:pPr>
      <w:r>
        <w:rPr>
          <w:rFonts w:eastAsia="宋体"/>
          <w:color w:val="auto"/>
          <w:sz w:val="21"/>
          <w:szCs w:val="21"/>
          <w:highlight w:val="none"/>
        </w:rPr>
        <w:t>[</w:t>
      </w:r>
      <w:r>
        <w:rPr>
          <w:rFonts w:hint="eastAsia" w:hAnsi="宋体" w:eastAsia="宋体"/>
          <w:color w:val="auto"/>
          <w:sz w:val="21"/>
          <w:szCs w:val="21"/>
          <w:highlight w:val="none"/>
        </w:rPr>
        <w:t>来源：</w:t>
      </w:r>
      <w:r>
        <w:rPr>
          <w:rFonts w:eastAsia="宋体"/>
          <w:color w:val="auto"/>
          <w:sz w:val="21"/>
          <w:szCs w:val="21"/>
          <w:highlight w:val="none"/>
        </w:rPr>
        <w:t>GB/T2298-2010</w:t>
      </w:r>
      <w:r>
        <w:rPr>
          <w:rFonts w:hint="eastAsia" w:hAnsi="宋体" w:eastAsia="宋体"/>
          <w:color w:val="auto"/>
          <w:sz w:val="21"/>
          <w:szCs w:val="21"/>
          <w:highlight w:val="none"/>
        </w:rPr>
        <w:t>，</w:t>
      </w:r>
      <w:r>
        <w:rPr>
          <w:rFonts w:eastAsia="宋体"/>
          <w:color w:val="auto"/>
          <w:sz w:val="21"/>
          <w:szCs w:val="21"/>
          <w:highlight w:val="none"/>
        </w:rPr>
        <w:t>3.62</w:t>
      </w:r>
      <w:r>
        <w:rPr>
          <w:rFonts w:hint="eastAsia" w:eastAsia="宋体"/>
          <w:color w:val="auto"/>
          <w:sz w:val="21"/>
          <w:szCs w:val="21"/>
          <w:highlight w:val="none"/>
          <w:lang w:eastAsia="zh-CN"/>
        </w:rPr>
        <w:t>，</w:t>
      </w:r>
      <w:bookmarkStart w:id="28" w:name="OLE_LINK3"/>
      <w:r>
        <w:rPr>
          <w:rFonts w:hint="eastAsia" w:eastAsia="宋体"/>
          <w:color w:val="auto"/>
          <w:sz w:val="21"/>
          <w:szCs w:val="21"/>
          <w:highlight w:val="none"/>
          <w:lang w:val="en-US" w:eastAsia="zh-CN"/>
        </w:rPr>
        <w:t>有修改</w:t>
      </w:r>
      <w:bookmarkEnd w:id="28"/>
      <w:r>
        <w:rPr>
          <w:rFonts w:eastAsia="宋体"/>
          <w:color w:val="auto"/>
          <w:sz w:val="21"/>
          <w:szCs w:val="21"/>
          <w:highlight w:val="none"/>
        </w:rPr>
        <w:t>]</w:t>
      </w:r>
    </w:p>
    <w:p>
      <w:pPr>
        <w:pStyle w:val="19"/>
        <w:numPr>
          <w:ilvl w:val="0"/>
          <w:numId w:val="2"/>
        </w:numPr>
        <w:spacing w:after="100" w:line="288" w:lineRule="auto"/>
        <w:rPr>
          <w:rFonts w:ascii="黑体" w:hAnsi="黑体" w:eastAsia="黑体" w:cs="黑体"/>
          <w:b/>
          <w:bCs/>
          <w:color w:val="auto"/>
          <w:sz w:val="21"/>
          <w:szCs w:val="21"/>
          <w:highlight w:val="none"/>
        </w:rPr>
      </w:pPr>
    </w:p>
    <w:p>
      <w:pPr>
        <w:pStyle w:val="19"/>
        <w:ind w:firstLine="420"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频响函数 frequency-response function</w:t>
      </w:r>
    </w:p>
    <w:p>
      <w:pPr>
        <w:pStyle w:val="19"/>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与频率相关的线性系统运动响应的傅里叶变换与激励力的傅里叶变换之比。</w:t>
      </w:r>
    </w:p>
    <w:p>
      <w:pPr>
        <w:pStyle w:val="19"/>
        <w:ind w:firstLine="420" w:firstLineChars="200"/>
        <w:rPr>
          <w:rFonts w:eastAsia="宋体"/>
          <w:color w:val="auto"/>
          <w:sz w:val="21"/>
          <w:szCs w:val="21"/>
          <w:highlight w:val="none"/>
        </w:rPr>
      </w:pPr>
      <w:r>
        <w:rPr>
          <w:rFonts w:eastAsia="宋体"/>
          <w:color w:val="auto"/>
          <w:sz w:val="21"/>
          <w:szCs w:val="21"/>
          <w:highlight w:val="none"/>
        </w:rPr>
        <w:t>[</w:t>
      </w:r>
      <w:r>
        <w:rPr>
          <w:rFonts w:hint="eastAsia" w:hAnsi="宋体" w:eastAsia="宋体"/>
          <w:color w:val="auto"/>
          <w:sz w:val="21"/>
          <w:szCs w:val="21"/>
          <w:highlight w:val="none"/>
        </w:rPr>
        <w:t>来源：</w:t>
      </w:r>
      <w:r>
        <w:rPr>
          <w:rFonts w:eastAsia="宋体"/>
          <w:color w:val="auto"/>
          <w:sz w:val="21"/>
          <w:szCs w:val="21"/>
          <w:highlight w:val="none"/>
        </w:rPr>
        <w:t>GB/T11349.1-2018</w:t>
      </w:r>
      <w:r>
        <w:rPr>
          <w:rFonts w:hint="eastAsia" w:hAnsi="宋体" w:eastAsia="宋体"/>
          <w:color w:val="auto"/>
          <w:sz w:val="21"/>
          <w:szCs w:val="21"/>
          <w:highlight w:val="none"/>
        </w:rPr>
        <w:t>，</w:t>
      </w:r>
      <w:r>
        <w:rPr>
          <w:rFonts w:eastAsia="宋体"/>
          <w:color w:val="auto"/>
          <w:sz w:val="21"/>
          <w:szCs w:val="21"/>
          <w:highlight w:val="none"/>
        </w:rPr>
        <w:t>3.1.1]</w:t>
      </w:r>
    </w:p>
    <w:p>
      <w:pPr>
        <w:pStyle w:val="19"/>
        <w:numPr>
          <w:ilvl w:val="0"/>
          <w:numId w:val="2"/>
        </w:numPr>
        <w:spacing w:after="100" w:line="288" w:lineRule="auto"/>
        <w:rPr>
          <w:rFonts w:ascii="黑体" w:hAnsi="黑体" w:eastAsia="黑体" w:cs="黑体"/>
          <w:b/>
          <w:bCs/>
          <w:color w:val="auto"/>
          <w:sz w:val="21"/>
          <w:szCs w:val="21"/>
          <w:highlight w:val="none"/>
        </w:rPr>
      </w:pPr>
    </w:p>
    <w:p>
      <w:pPr>
        <w:pStyle w:val="19"/>
        <w:ind w:firstLine="420"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相干函数 coherence function</w:t>
      </w:r>
    </w:p>
    <w:p>
      <w:pPr>
        <w:pStyle w:val="19"/>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在频域内两信号之间关系的无量纲度量。</w:t>
      </w:r>
    </w:p>
    <w:p>
      <w:pPr>
        <w:pStyle w:val="19"/>
        <w:ind w:firstLine="420" w:firstLineChars="200"/>
        <w:rPr>
          <w:rFonts w:eastAsia="宋体"/>
          <w:color w:val="auto"/>
          <w:sz w:val="21"/>
          <w:szCs w:val="21"/>
          <w:highlight w:val="none"/>
        </w:rPr>
      </w:pPr>
      <w:r>
        <w:rPr>
          <w:rFonts w:eastAsia="宋体"/>
          <w:color w:val="auto"/>
          <w:sz w:val="21"/>
          <w:szCs w:val="21"/>
          <w:highlight w:val="none"/>
        </w:rPr>
        <w:t>[</w:t>
      </w:r>
      <w:r>
        <w:rPr>
          <w:rFonts w:hint="eastAsia" w:hAnsi="宋体" w:eastAsia="宋体"/>
          <w:color w:val="auto"/>
          <w:sz w:val="21"/>
          <w:szCs w:val="21"/>
          <w:highlight w:val="none"/>
        </w:rPr>
        <w:t>来源：</w:t>
      </w:r>
      <w:r>
        <w:rPr>
          <w:rFonts w:eastAsia="宋体"/>
          <w:color w:val="auto"/>
          <w:sz w:val="21"/>
          <w:szCs w:val="21"/>
          <w:highlight w:val="none"/>
        </w:rPr>
        <w:t>GB/T2298-2010</w:t>
      </w:r>
      <w:r>
        <w:rPr>
          <w:rFonts w:hint="eastAsia" w:hAnsi="宋体" w:eastAsia="宋体"/>
          <w:color w:val="auto"/>
          <w:sz w:val="21"/>
          <w:szCs w:val="21"/>
          <w:highlight w:val="none"/>
        </w:rPr>
        <w:t>，</w:t>
      </w:r>
      <w:r>
        <w:rPr>
          <w:rFonts w:eastAsia="宋体"/>
          <w:color w:val="auto"/>
          <w:sz w:val="21"/>
          <w:szCs w:val="21"/>
          <w:highlight w:val="none"/>
        </w:rPr>
        <w:t>6.15]</w:t>
      </w:r>
    </w:p>
    <w:p>
      <w:pPr>
        <w:pStyle w:val="19"/>
        <w:numPr>
          <w:ilvl w:val="0"/>
          <w:numId w:val="2"/>
        </w:numPr>
        <w:spacing w:after="100" w:line="288" w:lineRule="auto"/>
        <w:rPr>
          <w:rFonts w:ascii="黑体" w:hAnsi="黑体" w:eastAsia="黑体" w:cs="黑体"/>
          <w:color w:val="auto"/>
          <w:sz w:val="21"/>
          <w:szCs w:val="21"/>
          <w:highlight w:val="none"/>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840" w:firstLineChars="4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呼吸形振型</w:t>
      </w:r>
      <w:r>
        <w:rPr>
          <w:rFonts w:hint="eastAsia" w:ascii="黑体" w:hAnsi="黑体" w:eastAsia="黑体" w:cs="黑体"/>
          <w:color w:val="auto"/>
          <w:sz w:val="21"/>
          <w:szCs w:val="21"/>
          <w:highlight w:val="none"/>
          <w:lang w:val="en-US" w:eastAsia="zh-CN"/>
        </w:rPr>
        <w:t xml:space="preserve"> </w:t>
      </w:r>
      <w:r>
        <w:rPr>
          <w:rFonts w:hint="eastAsia" w:ascii="黑体" w:hAnsi="黑体" w:eastAsia="黑体" w:cs="黑体"/>
          <w:color w:val="auto"/>
          <w:kern w:val="2"/>
          <w:sz w:val="21"/>
          <w:szCs w:val="21"/>
          <w:highlight w:val="none"/>
          <w:lang w:val="en-US" w:eastAsia="zh-CN" w:bidi="ar-SA"/>
        </w:rPr>
        <w:t>breath undulating shapes of vibration modes</w:t>
      </w:r>
      <w:r>
        <w:rPr>
          <w:rFonts w:hint="eastAsia" w:ascii="黑体" w:hAnsi="黑体" w:eastAsia="黑体" w:cs="黑体"/>
          <w:color w:val="auto"/>
          <w:sz w:val="21"/>
          <w:szCs w:val="21"/>
          <w:highlight w:val="none"/>
          <w:lang w:val="en-US" w:eastAsia="zh-CN"/>
        </w:rPr>
        <w:t xml:space="preserve"> </w:t>
      </w:r>
    </w:p>
    <w:p>
      <w:pPr>
        <w:pStyle w:val="19"/>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类似呼吸形状的发电机</w:t>
      </w:r>
      <w:r>
        <w:rPr>
          <w:rFonts w:hint="eastAsia" w:ascii="宋体" w:hAnsi="宋体" w:eastAsia="宋体" w:cs="宋体"/>
          <w:color w:val="auto"/>
          <w:sz w:val="21"/>
          <w:szCs w:val="21"/>
          <w:highlight w:val="none"/>
          <w:lang w:eastAsia="zh-CN"/>
        </w:rPr>
        <w:t>非承重</w:t>
      </w:r>
      <w:r>
        <w:rPr>
          <w:rFonts w:hint="eastAsia" w:ascii="宋体" w:hAnsi="宋体" w:eastAsia="宋体" w:cs="宋体"/>
          <w:color w:val="auto"/>
          <w:sz w:val="21"/>
          <w:szCs w:val="21"/>
          <w:highlight w:val="none"/>
        </w:rPr>
        <w:t>机架模态振型，轴向一阶弯振动。见附录B。</w:t>
      </w:r>
    </w:p>
    <w:p>
      <w:pPr>
        <w:pStyle w:val="19"/>
        <w:numPr>
          <w:ilvl w:val="0"/>
          <w:numId w:val="2"/>
        </w:numPr>
        <w:spacing w:after="100" w:line="288" w:lineRule="auto"/>
        <w:rPr>
          <w:rFonts w:ascii="黑体" w:hAnsi="黑体" w:eastAsia="黑体" w:cs="黑体"/>
          <w:b/>
          <w:bCs/>
          <w:color w:val="auto"/>
          <w:sz w:val="21"/>
          <w:szCs w:val="21"/>
          <w:highlight w:val="none"/>
        </w:rPr>
      </w:pPr>
    </w:p>
    <w:p>
      <w:pPr>
        <w:pStyle w:val="19"/>
        <w:ind w:firstLine="420" w:firstLineChars="200"/>
        <w:rPr>
          <w:rFonts w:hint="default"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波浪形振型</w:t>
      </w:r>
      <w:r>
        <w:rPr>
          <w:rFonts w:hint="eastAsia" w:ascii="黑体" w:hAnsi="黑体" w:eastAsia="黑体" w:cs="黑体"/>
          <w:color w:val="auto"/>
          <w:sz w:val="21"/>
          <w:szCs w:val="21"/>
          <w:highlight w:val="none"/>
          <w:lang w:val="en-US" w:eastAsia="zh-CN"/>
        </w:rPr>
        <w:t xml:space="preserve"> </w:t>
      </w:r>
      <w:r>
        <w:rPr>
          <w:rFonts w:hint="eastAsia" w:ascii="黑体" w:hAnsi="黑体" w:eastAsia="黑体" w:cs="黑体"/>
          <w:color w:val="auto"/>
          <w:kern w:val="2"/>
          <w:sz w:val="21"/>
          <w:szCs w:val="21"/>
          <w:highlight w:val="none"/>
          <w:lang w:val="en-US" w:eastAsia="zh-CN" w:bidi="ar-SA"/>
        </w:rPr>
        <w:t>undulating shapes of vibration modes</w:t>
      </w:r>
      <w:r>
        <w:rPr>
          <w:rFonts w:hint="eastAsia" w:ascii="黑体" w:hAnsi="黑体" w:eastAsia="黑体" w:cs="黑体"/>
          <w:color w:val="auto"/>
          <w:sz w:val="21"/>
          <w:szCs w:val="21"/>
          <w:highlight w:val="none"/>
          <w:lang w:val="en-US" w:eastAsia="zh-CN"/>
        </w:rPr>
        <w:t xml:space="preserve"> </w:t>
      </w:r>
    </w:p>
    <w:p>
      <w:pPr>
        <w:pStyle w:val="19"/>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类似波浪形状的发电机</w:t>
      </w:r>
      <w:r>
        <w:rPr>
          <w:rFonts w:hint="eastAsia" w:ascii="宋体" w:hAnsi="宋体" w:eastAsia="宋体" w:cs="宋体"/>
          <w:color w:val="auto"/>
          <w:sz w:val="21"/>
          <w:szCs w:val="21"/>
          <w:highlight w:val="none"/>
          <w:lang w:eastAsia="zh-CN"/>
        </w:rPr>
        <w:t>非承重</w:t>
      </w:r>
      <w:r>
        <w:rPr>
          <w:rFonts w:hint="eastAsia" w:ascii="宋体" w:hAnsi="宋体" w:eastAsia="宋体" w:cs="宋体"/>
          <w:color w:val="auto"/>
          <w:sz w:val="21"/>
          <w:szCs w:val="21"/>
          <w:highlight w:val="none"/>
        </w:rPr>
        <w:t>机架模态振型，中心体平动振型。见附录B。</w:t>
      </w:r>
    </w:p>
    <w:p>
      <w:pPr>
        <w:pStyle w:val="19"/>
        <w:numPr>
          <w:ilvl w:val="0"/>
          <w:numId w:val="2"/>
        </w:numPr>
        <w:spacing w:after="100" w:line="288" w:lineRule="auto"/>
        <w:rPr>
          <w:rFonts w:ascii="黑体" w:hAnsi="黑体" w:eastAsia="黑体" w:cs="黑体"/>
          <w:b/>
          <w:bCs/>
          <w:color w:val="auto"/>
          <w:sz w:val="21"/>
          <w:szCs w:val="21"/>
          <w:highlight w:val="none"/>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840" w:firstLineChars="400"/>
        <w:rPr>
          <w:i w:val="0"/>
          <w:iCs w:val="0"/>
          <w:color w:val="auto"/>
          <w:highlight w:val="none"/>
        </w:rPr>
      </w:pPr>
      <w:r>
        <w:rPr>
          <w:rFonts w:hint="eastAsia" w:ascii="黑体" w:hAnsi="黑体" w:eastAsia="黑体" w:cs="黑体"/>
          <w:color w:val="auto"/>
          <w:kern w:val="2"/>
          <w:sz w:val="21"/>
          <w:szCs w:val="21"/>
          <w:highlight w:val="none"/>
          <w:lang w:val="en-US" w:eastAsia="zh-CN" w:bidi="ar-SA"/>
        </w:rPr>
        <w:t xml:space="preserve">扭转形振型 torsional shapes of vibration modes </w:t>
      </w:r>
    </w:p>
    <w:p>
      <w:pPr>
        <w:pStyle w:val="19"/>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类似扭转形状的发电机</w:t>
      </w:r>
      <w:r>
        <w:rPr>
          <w:rFonts w:hint="eastAsia" w:ascii="宋体" w:hAnsi="宋体" w:eastAsia="宋体" w:cs="宋体"/>
          <w:color w:val="auto"/>
          <w:sz w:val="21"/>
          <w:szCs w:val="21"/>
          <w:highlight w:val="none"/>
          <w:lang w:eastAsia="zh-CN"/>
        </w:rPr>
        <w:t>非承重</w:t>
      </w:r>
      <w:r>
        <w:rPr>
          <w:rFonts w:hint="eastAsia" w:ascii="宋体" w:hAnsi="宋体" w:eastAsia="宋体" w:cs="宋体"/>
          <w:color w:val="auto"/>
          <w:sz w:val="21"/>
          <w:szCs w:val="21"/>
          <w:highlight w:val="none"/>
        </w:rPr>
        <w:t>机架模态振型。见附录B。</w:t>
      </w:r>
    </w:p>
    <w:p>
      <w:pPr>
        <w:pStyle w:val="19"/>
        <w:numPr>
          <w:ilvl w:val="0"/>
          <w:numId w:val="2"/>
        </w:numPr>
        <w:spacing w:after="100" w:line="288" w:lineRule="auto"/>
        <w:rPr>
          <w:rFonts w:ascii="黑体" w:hAnsi="黑体" w:eastAsia="黑体" w:cs="黑体"/>
          <w:b/>
          <w:bCs/>
          <w:color w:val="auto"/>
          <w:sz w:val="21"/>
          <w:szCs w:val="21"/>
          <w:highlight w:val="no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2" w:lineRule="atLeast"/>
        <w:ind w:left="0" w:right="0" w:firstLine="420" w:firstLineChars="200"/>
        <w:jc w:val="left"/>
        <w:rPr>
          <w:rFonts w:hint="default" w:ascii="Segoe UI" w:hAnsi="Segoe UI" w:eastAsia="Segoe UI" w:cs="Segoe UI"/>
          <w:i w:val="0"/>
          <w:iCs w:val="0"/>
          <w:caps w:val="0"/>
          <w:color w:val="auto"/>
          <w:spacing w:val="0"/>
          <w:sz w:val="16"/>
          <w:szCs w:val="16"/>
          <w:highlight w:val="none"/>
          <w:lang w:val="en-US"/>
        </w:rPr>
      </w:pPr>
      <w:r>
        <w:rPr>
          <w:rFonts w:hint="eastAsia" w:ascii="黑体" w:hAnsi="黑体" w:eastAsia="黑体" w:cs="黑体"/>
          <w:b w:val="0"/>
          <w:bCs w:val="0"/>
          <w:color w:val="auto"/>
          <w:kern w:val="2"/>
          <w:sz w:val="21"/>
          <w:szCs w:val="21"/>
          <w:highlight w:val="none"/>
          <w:lang w:bidi="ar-SA"/>
        </w:rPr>
        <w:t>单臂扭转形振型</w:t>
      </w:r>
      <w:r>
        <w:rPr>
          <w:rFonts w:hint="eastAsia" w:ascii="黑体" w:hAnsi="黑体" w:eastAsia="黑体" w:cs="黑体"/>
          <w:b w:val="0"/>
          <w:bCs w:val="0"/>
          <w:color w:val="auto"/>
          <w:kern w:val="2"/>
          <w:sz w:val="21"/>
          <w:szCs w:val="21"/>
          <w:highlight w:val="none"/>
          <w:lang w:val="en-US" w:eastAsia="zh-CN" w:bidi="ar-SA"/>
        </w:rPr>
        <w:t xml:space="preserve"> single </w:t>
      </w:r>
      <w:r>
        <w:rPr>
          <w:rFonts w:hint="default" w:ascii="黑体" w:hAnsi="黑体" w:eastAsia="黑体" w:cs="黑体"/>
          <w:b w:val="0"/>
          <w:bCs w:val="0"/>
          <w:color w:val="auto"/>
          <w:kern w:val="2"/>
          <w:sz w:val="21"/>
          <w:szCs w:val="21"/>
          <w:highlight w:val="none"/>
          <w:lang w:val="en-US" w:eastAsia="zh-CN" w:bidi="ar-SA"/>
        </w:rPr>
        <w:fldChar w:fldCharType="begin"/>
      </w:r>
      <w:r>
        <w:rPr>
          <w:rFonts w:hint="default" w:ascii="黑体" w:hAnsi="黑体" w:eastAsia="黑体" w:cs="黑体"/>
          <w:b w:val="0"/>
          <w:bCs w:val="0"/>
          <w:color w:val="auto"/>
          <w:kern w:val="2"/>
          <w:sz w:val="21"/>
          <w:szCs w:val="21"/>
          <w:highlight w:val="none"/>
          <w:lang w:val="en-US" w:eastAsia="zh-CN" w:bidi="ar-SA"/>
        </w:rPr>
        <w:instrText xml:space="preserve"> HYPERLINK "javascript:;" </w:instrText>
      </w:r>
      <w:r>
        <w:rPr>
          <w:rFonts w:hint="default" w:ascii="黑体" w:hAnsi="黑体" w:eastAsia="黑体" w:cs="黑体"/>
          <w:b w:val="0"/>
          <w:bCs w:val="0"/>
          <w:color w:val="auto"/>
          <w:kern w:val="2"/>
          <w:sz w:val="21"/>
          <w:szCs w:val="21"/>
          <w:highlight w:val="none"/>
          <w:lang w:val="en-US" w:eastAsia="zh-CN" w:bidi="ar-SA"/>
        </w:rPr>
        <w:fldChar w:fldCharType="separate"/>
      </w:r>
      <w:r>
        <w:rPr>
          <w:rFonts w:hint="default" w:ascii="黑体" w:hAnsi="黑体" w:eastAsia="黑体" w:cs="黑体"/>
          <w:b w:val="0"/>
          <w:bCs w:val="0"/>
          <w:color w:val="auto"/>
          <w:kern w:val="2"/>
          <w:sz w:val="21"/>
          <w:szCs w:val="21"/>
          <w:highlight w:val="none"/>
          <w:lang w:val="en-US" w:eastAsia="zh-CN" w:bidi="ar-SA"/>
        </w:rPr>
        <w:t>support arm</w:t>
      </w:r>
      <w:r>
        <w:rPr>
          <w:rFonts w:hint="default" w:ascii="黑体" w:hAnsi="黑体" w:eastAsia="黑体" w:cs="黑体"/>
          <w:b w:val="0"/>
          <w:bCs w:val="0"/>
          <w:color w:val="auto"/>
          <w:kern w:val="2"/>
          <w:sz w:val="21"/>
          <w:szCs w:val="21"/>
          <w:highlight w:val="none"/>
          <w:lang w:val="en-US" w:eastAsia="zh-CN" w:bidi="ar-SA"/>
        </w:rPr>
        <w:fldChar w:fldCharType="end"/>
      </w:r>
      <w:r>
        <w:rPr>
          <w:rFonts w:hint="eastAsia" w:ascii="黑体" w:hAnsi="黑体" w:eastAsia="黑体" w:cs="黑体"/>
          <w:b w:val="0"/>
          <w:bCs w:val="0"/>
          <w:color w:val="auto"/>
          <w:kern w:val="2"/>
          <w:sz w:val="21"/>
          <w:szCs w:val="21"/>
          <w:highlight w:val="none"/>
          <w:lang w:val="en-US" w:eastAsia="zh-CN" w:bidi="ar-SA"/>
        </w:rPr>
        <w:t xml:space="preserve"> torsional shapes of vibration modes </w:t>
      </w:r>
    </w:p>
    <w:p>
      <w:pPr>
        <w:pStyle w:val="19"/>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类似扭转形状的发电机</w:t>
      </w:r>
      <w:r>
        <w:rPr>
          <w:rFonts w:hint="eastAsia" w:ascii="宋体" w:hAnsi="宋体" w:eastAsia="宋体" w:cs="宋体"/>
          <w:color w:val="auto"/>
          <w:sz w:val="21"/>
          <w:szCs w:val="21"/>
          <w:highlight w:val="none"/>
          <w:lang w:eastAsia="zh-CN"/>
        </w:rPr>
        <w:t>非承重</w:t>
      </w:r>
      <w:r>
        <w:rPr>
          <w:rFonts w:hint="eastAsia" w:ascii="宋体" w:hAnsi="宋体" w:eastAsia="宋体" w:cs="宋体"/>
          <w:color w:val="auto"/>
          <w:sz w:val="21"/>
          <w:szCs w:val="21"/>
          <w:highlight w:val="none"/>
        </w:rPr>
        <w:t>机架单个支臂模态振型。见附录B。</w:t>
      </w:r>
    </w:p>
    <w:p>
      <w:pPr>
        <w:pStyle w:val="19"/>
        <w:numPr>
          <w:ilvl w:val="0"/>
          <w:numId w:val="2"/>
        </w:numPr>
        <w:adjustRightInd/>
        <w:snapToGrid/>
        <w:spacing w:after="100" w:line="288" w:lineRule="auto"/>
        <w:ind w:left="420" w:hanging="420" w:firstLineChars="0"/>
        <w:rPr>
          <w:rFonts w:hint="default" w:ascii="黑体" w:hAnsi="黑体" w:eastAsia="黑体" w:cs="黑体"/>
          <w:b/>
          <w:bCs/>
          <w:color w:val="auto"/>
          <w:sz w:val="21"/>
          <w:szCs w:val="21"/>
          <w:highlight w:val="none"/>
          <w:lang w:val="en-US" w:eastAsia="zh-CN"/>
        </w:rPr>
      </w:pPr>
      <w:r>
        <w:rPr>
          <w:rFonts w:hint="default" w:ascii="黑体" w:hAnsi="黑体" w:eastAsia="黑体" w:cs="黑体"/>
          <w:b/>
          <w:bCs/>
          <w:color w:val="auto"/>
          <w:sz w:val="21"/>
          <w:szCs w:val="21"/>
          <w:highlight w:val="none"/>
          <w:lang w:val="en-US" w:eastAsia="zh-CN"/>
        </w:rPr>
        <w:tab/>
      </w:r>
    </w:p>
    <w:p>
      <w:pPr>
        <w:widowControl/>
        <w:numPr>
          <w:ilvl w:val="0"/>
          <w:numId w:val="0"/>
        </w:numPr>
        <w:pBdr>
          <w:top w:val="none" w:color="auto" w:sz="0" w:space="0"/>
          <w:left w:val="none" w:color="auto" w:sz="0" w:space="0"/>
          <w:bottom w:val="none" w:color="auto" w:sz="0" w:space="0"/>
          <w:right w:val="none" w:color="auto" w:sz="0" w:space="0"/>
        </w:pBdr>
        <w:spacing w:before="0" w:beforeAutospacing="0" w:after="0" w:afterAutospacing="0"/>
        <w:ind w:left="-360" w:firstLine="840" w:firstLineChars="400"/>
        <w:rPr>
          <w:rFonts w:hint="eastAsia" w:ascii="黑体" w:hAnsi="黑体" w:eastAsia="黑体" w:cs="黑体"/>
          <w:b w:val="0"/>
          <w:bCs w:val="0"/>
          <w:color w:val="auto"/>
          <w:kern w:val="2"/>
          <w:sz w:val="21"/>
          <w:szCs w:val="21"/>
          <w:highlight w:val="none"/>
          <w:lang w:val="en-US" w:eastAsia="zh-CN" w:bidi="ar-SA"/>
        </w:rPr>
      </w:pPr>
      <w:r>
        <w:rPr>
          <w:rFonts w:hint="eastAsia" w:ascii="黑体" w:hAnsi="黑体" w:eastAsia="黑体" w:cs="黑体"/>
          <w:b w:val="0"/>
          <w:bCs w:val="0"/>
          <w:color w:val="auto"/>
          <w:kern w:val="2"/>
          <w:sz w:val="21"/>
          <w:szCs w:val="21"/>
          <w:highlight w:val="none"/>
          <w:lang w:val="en-US" w:eastAsia="zh-CN" w:bidi="ar-SA"/>
        </w:rPr>
        <w:t>阻尼比 damping ratio</w:t>
      </w:r>
    </w:p>
    <w:p>
      <w:pPr>
        <w:pStyle w:val="19"/>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实际阻尼系数与临界阻尼系数之比。</w:t>
      </w:r>
    </w:p>
    <w:p>
      <w:pPr>
        <w:pStyle w:val="19"/>
        <w:numPr>
          <w:ilvl w:val="0"/>
          <w:numId w:val="2"/>
        </w:numPr>
        <w:spacing w:after="100" w:line="288" w:lineRule="auto"/>
        <w:ind w:left="420" w:hanging="420" w:firstLineChars="0"/>
        <w:rPr>
          <w:rFonts w:hint="default" w:ascii="黑体" w:hAnsi="黑体" w:eastAsia="黑体" w:cs="黑体"/>
          <w:b/>
          <w:bCs/>
          <w:color w:val="auto"/>
          <w:sz w:val="21"/>
          <w:szCs w:val="21"/>
          <w:highlight w:val="none"/>
          <w:lang w:val="en-US" w:eastAsia="zh-CN"/>
        </w:rPr>
      </w:pPr>
      <w:r>
        <w:rPr>
          <w:rFonts w:hint="default" w:ascii="黑体" w:hAnsi="黑体" w:eastAsia="黑体" w:cs="黑体"/>
          <w:b/>
          <w:bCs/>
          <w:color w:val="auto"/>
          <w:sz w:val="21"/>
          <w:szCs w:val="21"/>
          <w:highlight w:val="none"/>
          <w:lang w:val="en-US" w:eastAsia="zh-CN"/>
        </w:rPr>
        <w:tab/>
      </w:r>
    </w:p>
    <w:p>
      <w:pPr>
        <w:widowControl/>
        <w:numPr>
          <w:ilvl w:val="0"/>
          <w:numId w:val="0"/>
        </w:numPr>
        <w:pBdr>
          <w:top w:val="none" w:color="auto" w:sz="0" w:space="0"/>
          <w:left w:val="none" w:color="auto" w:sz="0" w:space="0"/>
          <w:bottom w:val="none" w:color="auto" w:sz="0" w:space="0"/>
          <w:right w:val="none" w:color="auto" w:sz="0" w:space="0"/>
        </w:pBdr>
        <w:spacing w:before="0" w:beforeAutospacing="0" w:after="0" w:afterAutospacing="0"/>
        <w:ind w:left="-360" w:firstLine="840" w:firstLineChars="400"/>
        <w:rPr>
          <w:rFonts w:hint="eastAsia" w:ascii="黑体" w:hAnsi="黑体" w:eastAsia="黑体" w:cs="黑体"/>
          <w:color w:val="auto"/>
          <w:sz w:val="21"/>
          <w:szCs w:val="21"/>
          <w:highlight w:val="none"/>
          <w:lang w:val="en-US" w:eastAsia="zh-CN"/>
        </w:rPr>
      </w:pPr>
      <w:r>
        <w:rPr>
          <w:rFonts w:hint="eastAsia" w:ascii="黑体" w:hAnsi="黑体" w:eastAsia="黑体" w:cs="黑体"/>
          <w:b w:val="0"/>
          <w:bCs w:val="0"/>
          <w:color w:val="auto"/>
          <w:kern w:val="2"/>
          <w:sz w:val="21"/>
          <w:szCs w:val="21"/>
          <w:highlight w:val="none"/>
          <w:lang w:val="en-US" w:eastAsia="zh-CN" w:bidi="ar-SA"/>
        </w:rPr>
        <w:t>节点（波节）</w:t>
      </w:r>
      <w:r>
        <w:rPr>
          <w:rFonts w:hint="eastAsia" w:ascii="黑体" w:hAnsi="黑体" w:eastAsia="黑体" w:cs="黑体"/>
          <w:color w:val="auto"/>
          <w:sz w:val="21"/>
          <w:szCs w:val="21"/>
          <w:highlight w:val="none"/>
          <w:lang w:val="en-US" w:eastAsia="zh-CN"/>
        </w:rPr>
        <w:t xml:space="preserve"> node</w:t>
      </w:r>
    </w:p>
    <w:p>
      <w:pPr>
        <w:pStyle w:val="19"/>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在机械系统中某一波场特性的振幅为零的点（节点）、线（节线）或面（节面）</w:t>
      </w:r>
    </w:p>
    <w:p>
      <w:pPr>
        <w:pStyle w:val="19"/>
        <w:ind w:firstLine="420" w:firstLineChars="200"/>
        <w:rPr>
          <w:rFonts w:hint="default" w:ascii="宋体" w:hAnsi="宋体" w:eastAsia="宋体" w:cs="宋体"/>
          <w:color w:val="auto"/>
          <w:sz w:val="21"/>
          <w:szCs w:val="21"/>
          <w:highlight w:val="none"/>
          <w:lang w:val="en-US" w:eastAsia="zh-CN"/>
        </w:rPr>
      </w:pPr>
      <w:r>
        <w:rPr>
          <w:rFonts w:eastAsia="宋体"/>
          <w:color w:val="auto"/>
          <w:sz w:val="21"/>
          <w:szCs w:val="21"/>
          <w:highlight w:val="none"/>
        </w:rPr>
        <w:t>[</w:t>
      </w:r>
      <w:r>
        <w:rPr>
          <w:rFonts w:hint="default" w:hAnsi="Times New Roman" w:eastAsia="宋体"/>
          <w:color w:val="auto"/>
          <w:sz w:val="21"/>
          <w:szCs w:val="21"/>
          <w:highlight w:val="none"/>
        </w:rPr>
        <w:t>来源：</w:t>
      </w:r>
      <w:r>
        <w:rPr>
          <w:rFonts w:eastAsia="宋体"/>
          <w:color w:val="auto"/>
          <w:sz w:val="21"/>
          <w:szCs w:val="21"/>
          <w:highlight w:val="none"/>
        </w:rPr>
        <w:t>GB/T2298-2010</w:t>
      </w:r>
      <w:r>
        <w:rPr>
          <w:rFonts w:hint="default" w:hAnsi="Times New Roman" w:eastAsia="宋体"/>
          <w:color w:val="auto"/>
          <w:sz w:val="21"/>
          <w:szCs w:val="21"/>
          <w:highlight w:val="none"/>
        </w:rPr>
        <w:t>，</w:t>
      </w:r>
      <w:r>
        <w:rPr>
          <w:rFonts w:hint="eastAsia" w:eastAsia="宋体"/>
          <w:color w:val="auto"/>
          <w:sz w:val="21"/>
          <w:szCs w:val="21"/>
          <w:highlight w:val="none"/>
          <w:lang w:val="en-US" w:eastAsia="zh-CN"/>
        </w:rPr>
        <w:t>3.57，有修改</w:t>
      </w:r>
      <w:r>
        <w:rPr>
          <w:rFonts w:eastAsia="宋体"/>
          <w:color w:val="auto"/>
          <w:sz w:val="21"/>
          <w:szCs w:val="21"/>
          <w:highlight w:val="none"/>
        </w:rPr>
        <w:t>]</w:t>
      </w:r>
    </w:p>
    <w:p>
      <w:pPr>
        <w:pStyle w:val="19"/>
        <w:numPr>
          <w:ilvl w:val="0"/>
          <w:numId w:val="2"/>
        </w:numPr>
        <w:spacing w:after="100" w:line="288" w:lineRule="auto"/>
        <w:ind w:left="420" w:hanging="420" w:firstLineChars="0"/>
        <w:rPr>
          <w:rFonts w:hint="default" w:ascii="黑体" w:hAnsi="黑体" w:eastAsia="黑体" w:cs="黑体"/>
          <w:b/>
          <w:bCs/>
          <w:color w:val="auto"/>
          <w:sz w:val="21"/>
          <w:szCs w:val="21"/>
          <w:highlight w:val="none"/>
          <w:lang w:val="en-US" w:eastAsia="zh-CN"/>
        </w:rPr>
      </w:pPr>
      <w:r>
        <w:rPr>
          <w:rFonts w:hint="default" w:ascii="黑体" w:hAnsi="黑体" w:eastAsia="黑体" w:cs="黑体"/>
          <w:b/>
          <w:bCs/>
          <w:color w:val="auto"/>
          <w:sz w:val="21"/>
          <w:szCs w:val="21"/>
          <w:highlight w:val="none"/>
          <w:lang w:val="en-US" w:eastAsia="zh-CN"/>
        </w:rPr>
        <w:tab/>
      </w:r>
    </w:p>
    <w:p>
      <w:pPr>
        <w:widowControl/>
        <w:numPr>
          <w:ilvl w:val="0"/>
          <w:numId w:val="0"/>
        </w:numPr>
        <w:pBdr>
          <w:top w:val="none" w:color="auto" w:sz="0" w:space="0"/>
          <w:left w:val="none" w:color="auto" w:sz="0" w:space="0"/>
          <w:bottom w:val="none" w:color="auto" w:sz="0" w:space="0"/>
          <w:right w:val="none" w:color="auto" w:sz="0" w:space="0"/>
        </w:pBdr>
        <w:ind w:left="-360" w:firstLine="840" w:firstLineChars="400"/>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自功率谱密度 auto-spectral density</w:t>
      </w:r>
    </w:p>
    <w:p>
      <w:pPr>
        <w:pStyle w:val="19"/>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随机、连续信号的频域描述的量值。</w:t>
      </w:r>
    </w:p>
    <w:p>
      <w:pPr>
        <w:pStyle w:val="19"/>
        <w:ind w:firstLine="420" w:firstLineChars="200"/>
        <w:rPr>
          <w:rFonts w:hint="default" w:ascii="Times New Roman" w:hAnsi="Times New Roman" w:eastAsia="宋体" w:cs="Times New Roman"/>
          <w:color w:val="auto"/>
          <w:sz w:val="21"/>
          <w:szCs w:val="21"/>
          <w:highlight w:val="none"/>
          <w:lang w:val="en-US" w:eastAsia="zh-CN"/>
        </w:rPr>
      </w:pPr>
      <w:bookmarkStart w:id="29" w:name="OLE_LINK2"/>
      <w:r>
        <w:rPr>
          <w:rFonts w:eastAsia="宋体"/>
          <w:color w:val="auto"/>
          <w:sz w:val="21"/>
          <w:szCs w:val="21"/>
          <w:highlight w:val="none"/>
        </w:rPr>
        <w:t>[</w:t>
      </w:r>
      <w:r>
        <w:rPr>
          <w:rFonts w:hint="default" w:hAnsi="Times New Roman" w:eastAsia="宋体"/>
          <w:color w:val="auto"/>
          <w:sz w:val="21"/>
          <w:szCs w:val="21"/>
          <w:highlight w:val="none"/>
        </w:rPr>
        <w:t>来源：</w:t>
      </w:r>
      <w:r>
        <w:rPr>
          <w:rFonts w:eastAsia="宋体"/>
          <w:color w:val="auto"/>
          <w:sz w:val="21"/>
          <w:szCs w:val="21"/>
          <w:highlight w:val="none"/>
        </w:rPr>
        <w:t>GB/T2298-2010</w:t>
      </w:r>
      <w:r>
        <w:rPr>
          <w:rFonts w:hint="default" w:hAnsi="Times New Roman" w:eastAsia="宋体"/>
          <w:color w:val="auto"/>
          <w:sz w:val="21"/>
          <w:szCs w:val="21"/>
          <w:highlight w:val="none"/>
        </w:rPr>
        <w:t>，</w:t>
      </w:r>
      <w:r>
        <w:rPr>
          <w:rFonts w:eastAsia="宋体"/>
          <w:color w:val="auto"/>
          <w:sz w:val="21"/>
          <w:szCs w:val="21"/>
          <w:highlight w:val="none"/>
        </w:rPr>
        <w:t>6.1</w:t>
      </w:r>
      <w:r>
        <w:rPr>
          <w:rFonts w:hint="default" w:eastAsia="宋体"/>
          <w:color w:val="auto"/>
          <w:sz w:val="21"/>
          <w:szCs w:val="21"/>
          <w:highlight w:val="none"/>
          <w:lang w:val="en-US" w:eastAsia="zh-CN"/>
        </w:rPr>
        <w:t>2</w:t>
      </w:r>
      <w:r>
        <w:rPr>
          <w:rFonts w:eastAsia="宋体"/>
          <w:color w:val="auto"/>
          <w:sz w:val="21"/>
          <w:szCs w:val="21"/>
          <w:highlight w:val="none"/>
        </w:rPr>
        <w:t>]</w:t>
      </w:r>
      <w:bookmarkEnd w:id="29"/>
    </w:p>
    <w:p>
      <w:pPr>
        <w:pStyle w:val="19"/>
        <w:numPr>
          <w:ilvl w:val="0"/>
          <w:numId w:val="2"/>
        </w:numPr>
        <w:spacing w:after="100" w:line="288" w:lineRule="auto"/>
        <w:ind w:left="420" w:hanging="420" w:firstLineChars="0"/>
        <w:rPr>
          <w:rFonts w:hint="default" w:ascii="黑体" w:hAnsi="黑体" w:eastAsia="黑体" w:cs="黑体"/>
          <w:b/>
          <w:bCs/>
          <w:color w:val="auto"/>
          <w:sz w:val="21"/>
          <w:szCs w:val="21"/>
          <w:highlight w:val="none"/>
          <w:lang w:val="en-US" w:eastAsia="zh-CN"/>
        </w:rPr>
      </w:pPr>
      <w:r>
        <w:rPr>
          <w:rFonts w:hint="default" w:ascii="黑体" w:hAnsi="黑体" w:eastAsia="黑体" w:cs="黑体"/>
          <w:b/>
          <w:bCs/>
          <w:color w:val="auto"/>
          <w:sz w:val="21"/>
          <w:szCs w:val="21"/>
          <w:highlight w:val="none"/>
          <w:lang w:val="en-US" w:eastAsia="zh-CN"/>
        </w:rPr>
        <w:tab/>
      </w:r>
    </w:p>
    <w:p>
      <w:pPr>
        <w:widowControl/>
        <w:numPr>
          <w:ilvl w:val="0"/>
          <w:numId w:val="0"/>
        </w:numPr>
        <w:pBdr>
          <w:top w:val="none" w:color="auto" w:sz="0" w:space="0"/>
          <w:left w:val="none" w:color="auto" w:sz="0" w:space="0"/>
          <w:bottom w:val="none" w:color="auto" w:sz="0" w:space="0"/>
          <w:right w:val="none" w:color="auto" w:sz="0" w:space="0"/>
        </w:pBdr>
        <w:ind w:left="-360" w:firstLine="840" w:firstLineChars="400"/>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互功率谱密度 cross spectral density</w:t>
      </w:r>
    </w:p>
    <w:p>
      <w:pPr>
        <w:pStyle w:val="19"/>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两信号在频域内关系的量值</w:t>
      </w:r>
    </w:p>
    <w:p>
      <w:pPr>
        <w:pStyle w:val="19"/>
        <w:ind w:firstLine="420" w:firstLineChars="200"/>
        <w:rPr>
          <w:rFonts w:hint="default" w:ascii="Times New Roman" w:hAnsi="Times New Roman" w:eastAsia="宋体" w:cs="Times New Roman"/>
          <w:color w:val="auto"/>
          <w:sz w:val="21"/>
          <w:szCs w:val="21"/>
          <w:highlight w:val="none"/>
          <w:lang w:val="en-US" w:eastAsia="zh-CN"/>
        </w:rPr>
      </w:pPr>
      <w:r>
        <w:rPr>
          <w:rFonts w:eastAsia="宋体"/>
          <w:color w:val="auto"/>
          <w:sz w:val="21"/>
          <w:szCs w:val="21"/>
          <w:highlight w:val="none"/>
        </w:rPr>
        <w:t>[</w:t>
      </w:r>
      <w:r>
        <w:rPr>
          <w:rFonts w:hint="default" w:hAnsi="Times New Roman" w:eastAsia="宋体"/>
          <w:color w:val="auto"/>
          <w:sz w:val="21"/>
          <w:szCs w:val="21"/>
          <w:highlight w:val="none"/>
        </w:rPr>
        <w:t>来源：</w:t>
      </w:r>
      <w:r>
        <w:rPr>
          <w:rFonts w:eastAsia="宋体"/>
          <w:color w:val="auto"/>
          <w:sz w:val="21"/>
          <w:szCs w:val="21"/>
          <w:highlight w:val="none"/>
        </w:rPr>
        <w:t>GB/T2298-2010</w:t>
      </w:r>
      <w:r>
        <w:rPr>
          <w:rFonts w:hint="default" w:hAnsi="Times New Roman" w:eastAsia="宋体"/>
          <w:color w:val="auto"/>
          <w:sz w:val="21"/>
          <w:szCs w:val="21"/>
          <w:highlight w:val="none"/>
        </w:rPr>
        <w:t>，</w:t>
      </w:r>
      <w:r>
        <w:rPr>
          <w:rFonts w:eastAsia="宋体"/>
          <w:color w:val="auto"/>
          <w:sz w:val="21"/>
          <w:szCs w:val="21"/>
          <w:highlight w:val="none"/>
        </w:rPr>
        <w:t>6.1</w:t>
      </w:r>
      <w:r>
        <w:rPr>
          <w:rFonts w:hint="default" w:eastAsia="宋体"/>
          <w:color w:val="auto"/>
          <w:sz w:val="21"/>
          <w:szCs w:val="21"/>
          <w:highlight w:val="none"/>
          <w:lang w:val="en-US" w:eastAsia="zh-CN"/>
        </w:rPr>
        <w:t>4</w:t>
      </w:r>
      <w:r>
        <w:rPr>
          <w:rFonts w:eastAsia="宋体"/>
          <w:color w:val="auto"/>
          <w:sz w:val="21"/>
          <w:szCs w:val="21"/>
          <w:highlight w:val="none"/>
        </w:rPr>
        <w:t>]</w:t>
      </w:r>
    </w:p>
    <w:p>
      <w:pPr>
        <w:pStyle w:val="18"/>
        <w:numPr>
          <w:ilvl w:val="0"/>
          <w:numId w:val="1"/>
        </w:numPr>
        <w:spacing w:beforeLines="100" w:afterLines="100" w:line="240" w:lineRule="auto"/>
        <w:ind w:left="0" w:firstLine="0"/>
        <w:jc w:val="left"/>
        <w:outlineLvl w:val="1"/>
        <w:rPr>
          <w:rFonts w:ascii="黑体" w:hAnsi="黑体" w:eastAsia="黑体" w:cs="黑体"/>
          <w:b/>
          <w:bCs/>
          <w:color w:val="auto"/>
          <w:sz w:val="21"/>
          <w:szCs w:val="21"/>
          <w:highlight w:val="none"/>
        </w:rPr>
      </w:pPr>
      <w:bookmarkStart w:id="30" w:name="_Toc16263"/>
      <w:bookmarkStart w:id="31" w:name="_Toc2429"/>
      <w:bookmarkStart w:id="32" w:name="_Toc25765"/>
      <w:bookmarkStart w:id="33" w:name="_Toc1306"/>
      <w:bookmarkStart w:id="34" w:name="_Toc16599"/>
      <w:bookmarkStart w:id="35" w:name="_Toc14783"/>
      <w:r>
        <w:rPr>
          <w:rFonts w:hint="eastAsia" w:ascii="黑体" w:hAnsi="黑体" w:eastAsia="黑体" w:cs="黑体"/>
          <w:bCs/>
          <w:color w:val="auto"/>
          <w:sz w:val="21"/>
          <w:szCs w:val="21"/>
          <w:highlight w:val="none"/>
        </w:rPr>
        <w:t xml:space="preserve"> </w:t>
      </w:r>
      <w:bookmarkEnd w:id="30"/>
      <w:bookmarkEnd w:id="31"/>
      <w:bookmarkEnd w:id="32"/>
      <w:bookmarkEnd w:id="33"/>
      <w:bookmarkEnd w:id="34"/>
      <w:bookmarkEnd w:id="35"/>
      <w:bookmarkStart w:id="36" w:name="_Toc32251"/>
      <w:r>
        <w:rPr>
          <w:rFonts w:hint="eastAsia" w:ascii="黑体" w:hAnsi="黑体" w:eastAsia="黑体" w:cs="黑体"/>
          <w:bCs/>
          <w:color w:val="auto"/>
          <w:sz w:val="21"/>
          <w:szCs w:val="21"/>
          <w:highlight w:val="none"/>
          <w:lang w:val="en-US" w:eastAsia="zh-CN"/>
        </w:rPr>
        <w:t>一般技术要求</w:t>
      </w:r>
      <w:bookmarkEnd w:id="36"/>
    </w:p>
    <w:p>
      <w:pPr>
        <w:pStyle w:val="19"/>
        <w:keepNext w:val="0"/>
        <w:keepLines w:val="0"/>
        <w:pageBreakBefore w:val="0"/>
        <w:widowControl w:val="0"/>
        <w:numPr>
          <w:ilvl w:val="0"/>
          <w:numId w:val="3"/>
        </w:numPr>
        <w:kinsoku/>
        <w:wordWrap/>
        <w:overflowPunct/>
        <w:topLinePunct w:val="0"/>
        <w:autoSpaceDE/>
        <w:autoSpaceDN/>
        <w:bidi w:val="0"/>
        <w:adjustRightInd/>
        <w:snapToGrid/>
        <w:spacing w:after="100" w:line="288" w:lineRule="auto"/>
        <w:ind w:left="420" w:hanging="420"/>
        <w:textAlignment w:val="auto"/>
        <w:rPr>
          <w:rFonts w:hint="eastAsia" w:ascii="宋体" w:hAnsi="宋体" w:eastAsia="宋体" w:cs="宋体"/>
          <w:color w:val="auto"/>
          <w:sz w:val="21"/>
          <w:szCs w:val="21"/>
          <w:highlight w:val="none"/>
        </w:rPr>
      </w:pPr>
      <w:bookmarkStart w:id="37" w:name="_Toc5154"/>
      <w:bookmarkStart w:id="38" w:name="_Toc4659"/>
      <w:bookmarkStart w:id="39" w:name="_Toc20222"/>
      <w:bookmarkStart w:id="40" w:name="_Toc11886"/>
      <w:bookmarkStart w:id="41" w:name="_Toc25287"/>
      <w:bookmarkStart w:id="42" w:name="_Toc16156"/>
      <w:r>
        <w:rPr>
          <w:rFonts w:hint="eastAsia" w:ascii="宋体" w:hAnsi="宋体" w:eastAsia="宋体" w:cs="宋体"/>
          <w:color w:val="auto"/>
          <w:sz w:val="21"/>
          <w:szCs w:val="21"/>
          <w:highlight w:val="none"/>
        </w:rPr>
        <w:t>水轮发电机新机投产前</w:t>
      </w:r>
      <w:r>
        <w:rPr>
          <w:rFonts w:hint="eastAsia" w:ascii="宋体" w:hAnsi="宋体" w:eastAsia="宋体" w:cs="宋体"/>
          <w:color w:val="auto"/>
          <w:sz w:val="21"/>
          <w:szCs w:val="21"/>
          <w:highlight w:val="none"/>
          <w:lang w:val="en-US" w:eastAsia="zh-CN"/>
        </w:rPr>
        <w:t>、机架结构或约束变化、机架</w:t>
      </w:r>
      <w:r>
        <w:rPr>
          <w:rFonts w:hint="eastAsia" w:ascii="宋体" w:hAnsi="宋体" w:eastAsia="宋体" w:cs="宋体"/>
          <w:color w:val="auto"/>
          <w:sz w:val="21"/>
          <w:szCs w:val="21"/>
          <w:highlight w:val="none"/>
        </w:rPr>
        <w:t>出现振动异常宜进行发电机</w:t>
      </w:r>
      <w:r>
        <w:rPr>
          <w:rFonts w:hint="eastAsia" w:ascii="宋体" w:hAnsi="宋体" w:eastAsia="宋体" w:cs="宋体"/>
          <w:color w:val="auto"/>
          <w:sz w:val="21"/>
          <w:szCs w:val="21"/>
          <w:highlight w:val="none"/>
          <w:lang w:eastAsia="zh-CN"/>
        </w:rPr>
        <w:t>非承重</w:t>
      </w:r>
      <w:r>
        <w:rPr>
          <w:rFonts w:hint="eastAsia" w:ascii="宋体" w:hAnsi="宋体" w:eastAsia="宋体" w:cs="宋体"/>
          <w:color w:val="auto"/>
          <w:sz w:val="21"/>
          <w:szCs w:val="21"/>
          <w:highlight w:val="none"/>
        </w:rPr>
        <w:t>机架模态测试</w:t>
      </w:r>
      <w:r>
        <w:rPr>
          <w:rFonts w:hint="eastAsia" w:ascii="宋体" w:hAnsi="宋体" w:eastAsia="宋体" w:cs="宋体"/>
          <w:color w:val="auto"/>
          <w:sz w:val="21"/>
          <w:szCs w:val="21"/>
          <w:highlight w:val="none"/>
          <w:lang w:eastAsia="zh-CN"/>
        </w:rPr>
        <w:t>。</w:t>
      </w:r>
    </w:p>
    <w:p>
      <w:pPr>
        <w:pStyle w:val="19"/>
        <w:keepNext w:val="0"/>
        <w:keepLines w:val="0"/>
        <w:pageBreakBefore w:val="0"/>
        <w:widowControl w:val="0"/>
        <w:numPr>
          <w:ilvl w:val="0"/>
          <w:numId w:val="3"/>
        </w:numPr>
        <w:kinsoku/>
        <w:wordWrap/>
        <w:overflowPunct/>
        <w:topLinePunct w:val="0"/>
        <w:autoSpaceDE/>
        <w:autoSpaceDN/>
        <w:bidi w:val="0"/>
        <w:adjustRightInd/>
        <w:snapToGrid/>
        <w:spacing w:after="100" w:line="288" w:lineRule="auto"/>
        <w:ind w:left="420" w:hanging="42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在机组进行A修前后，可开展发电机非承重机架模态测试。</w:t>
      </w:r>
    </w:p>
    <w:p>
      <w:pPr>
        <w:pStyle w:val="19"/>
        <w:keepNext w:val="0"/>
        <w:keepLines w:val="0"/>
        <w:pageBreakBefore w:val="0"/>
        <w:widowControl w:val="0"/>
        <w:numPr>
          <w:ilvl w:val="0"/>
          <w:numId w:val="3"/>
        </w:numPr>
        <w:kinsoku/>
        <w:wordWrap/>
        <w:overflowPunct/>
        <w:topLinePunct w:val="0"/>
        <w:autoSpaceDE/>
        <w:autoSpaceDN/>
        <w:bidi w:val="0"/>
        <w:adjustRightInd/>
        <w:snapToGrid/>
        <w:spacing w:after="100" w:line="288" w:lineRule="auto"/>
        <w:ind w:left="420" w:hanging="42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试验前应确保水轮发电机非承重机架已安装完成且满足测试环境要求（见5.3）。</w:t>
      </w:r>
    </w:p>
    <w:p>
      <w:pPr>
        <w:pStyle w:val="19"/>
        <w:keepNext w:val="0"/>
        <w:keepLines w:val="0"/>
        <w:pageBreakBefore w:val="0"/>
        <w:widowControl w:val="0"/>
        <w:numPr>
          <w:ilvl w:val="0"/>
          <w:numId w:val="3"/>
        </w:numPr>
        <w:kinsoku/>
        <w:wordWrap/>
        <w:overflowPunct/>
        <w:topLinePunct w:val="0"/>
        <w:autoSpaceDE/>
        <w:autoSpaceDN/>
        <w:bidi w:val="0"/>
        <w:adjustRightInd/>
        <w:snapToGrid/>
        <w:spacing w:after="100" w:line="288" w:lineRule="auto"/>
        <w:ind w:left="420" w:hanging="42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试验前，试验人员应编写完整的试验方案，并履行审批流程。</w:t>
      </w:r>
    </w:p>
    <w:p>
      <w:pPr>
        <w:pStyle w:val="19"/>
        <w:keepNext w:val="0"/>
        <w:keepLines w:val="0"/>
        <w:pageBreakBefore w:val="0"/>
        <w:widowControl w:val="0"/>
        <w:numPr>
          <w:ilvl w:val="0"/>
          <w:numId w:val="3"/>
        </w:numPr>
        <w:kinsoku/>
        <w:wordWrap/>
        <w:overflowPunct/>
        <w:topLinePunct w:val="0"/>
        <w:autoSpaceDE/>
        <w:autoSpaceDN/>
        <w:bidi w:val="0"/>
        <w:adjustRightInd/>
        <w:snapToGrid/>
        <w:spacing w:after="100" w:line="288" w:lineRule="auto"/>
        <w:ind w:left="420" w:hanging="42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根据发电机非承重机架实际模态测试结果，结合其历史运行数据，对非承重机架刚度进行校核，并评估共振风险。</w:t>
      </w:r>
    </w:p>
    <w:p>
      <w:pPr>
        <w:pStyle w:val="18"/>
        <w:numPr>
          <w:ilvl w:val="0"/>
          <w:numId w:val="1"/>
        </w:numPr>
        <w:spacing w:beforeLines="100" w:afterLines="100" w:line="240" w:lineRule="auto"/>
        <w:ind w:left="0" w:firstLine="0"/>
        <w:jc w:val="left"/>
        <w:outlineLvl w:val="1"/>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 xml:space="preserve"> </w:t>
      </w:r>
      <w:bookmarkStart w:id="43" w:name="_Toc30562"/>
      <w:r>
        <w:rPr>
          <w:rFonts w:hint="eastAsia" w:ascii="黑体" w:hAnsi="黑体" w:eastAsia="黑体" w:cs="黑体"/>
          <w:bCs/>
          <w:color w:val="auto"/>
          <w:sz w:val="21"/>
          <w:szCs w:val="21"/>
          <w:highlight w:val="none"/>
        </w:rPr>
        <w:t>模态测试</w:t>
      </w:r>
      <w:bookmarkEnd w:id="37"/>
      <w:bookmarkEnd w:id="38"/>
      <w:bookmarkEnd w:id="39"/>
      <w:bookmarkEnd w:id="40"/>
      <w:bookmarkEnd w:id="41"/>
      <w:bookmarkEnd w:id="42"/>
      <w:bookmarkEnd w:id="43"/>
    </w:p>
    <w:p>
      <w:pPr>
        <w:pStyle w:val="19"/>
        <w:numPr>
          <w:ilvl w:val="0"/>
          <w:numId w:val="4"/>
        </w:numPr>
        <w:spacing w:after="100" w:line="288" w:lineRule="auto"/>
        <w:rPr>
          <w:rFonts w:ascii="黑体" w:hAnsi="黑体" w:eastAsia="黑体" w:cs="黑体"/>
          <w:bCs/>
          <w:color w:val="auto"/>
          <w:sz w:val="21"/>
          <w:szCs w:val="21"/>
          <w:highlight w:val="none"/>
        </w:rPr>
      </w:pPr>
      <w:bookmarkStart w:id="44" w:name="_Toc27907"/>
      <w:bookmarkStart w:id="45" w:name="_Toc17991"/>
      <w:bookmarkStart w:id="46" w:name="_Toc12386"/>
      <w:bookmarkStart w:id="47" w:name="_Toc10061"/>
      <w:bookmarkStart w:id="48" w:name="_Toc23631"/>
      <w:bookmarkStart w:id="49" w:name="_Toc32235"/>
      <w:r>
        <w:rPr>
          <w:rFonts w:hint="eastAsia" w:ascii="黑体" w:hAnsi="黑体" w:eastAsia="黑体" w:cs="黑体"/>
          <w:bCs/>
          <w:color w:val="auto"/>
          <w:sz w:val="21"/>
          <w:szCs w:val="21"/>
          <w:highlight w:val="none"/>
        </w:rPr>
        <w:t>测试对象</w:t>
      </w:r>
      <w:bookmarkEnd w:id="44"/>
    </w:p>
    <w:p>
      <w:pPr>
        <w:pStyle w:val="18"/>
        <w:spacing w:after="0" w:line="240" w:lineRule="auto"/>
        <w:ind w:firstLine="499"/>
        <w:jc w:val="left"/>
        <w:rPr>
          <w:color w:val="auto"/>
          <w:sz w:val="21"/>
          <w:szCs w:val="21"/>
          <w:highlight w:val="none"/>
        </w:rPr>
      </w:pPr>
      <w:bookmarkStart w:id="50" w:name="OLE_LINK5"/>
      <w:r>
        <w:rPr>
          <w:rFonts w:hint="eastAsia"/>
          <w:color w:val="auto"/>
          <w:sz w:val="21"/>
          <w:szCs w:val="21"/>
          <w:highlight w:val="none"/>
        </w:rPr>
        <w:t>水轮发电机</w:t>
      </w:r>
      <w:r>
        <w:rPr>
          <w:rFonts w:hint="eastAsia"/>
          <w:color w:val="auto"/>
          <w:sz w:val="21"/>
          <w:szCs w:val="21"/>
          <w:highlight w:val="none"/>
          <w:lang w:eastAsia="zh-CN"/>
        </w:rPr>
        <w:t>非承重</w:t>
      </w:r>
      <w:r>
        <w:rPr>
          <w:rFonts w:hint="eastAsia"/>
          <w:color w:val="auto"/>
          <w:sz w:val="21"/>
          <w:szCs w:val="21"/>
          <w:highlight w:val="none"/>
        </w:rPr>
        <w:t>机架模态测试</w:t>
      </w:r>
      <w:bookmarkEnd w:id="50"/>
      <w:r>
        <w:rPr>
          <w:rFonts w:hint="eastAsia"/>
          <w:color w:val="auto"/>
          <w:sz w:val="21"/>
          <w:szCs w:val="21"/>
          <w:highlight w:val="none"/>
        </w:rPr>
        <w:t>分为整体机架测试和单支臂测试，根据整体机架测试结果决定是否进行单支臂测试。</w:t>
      </w:r>
    </w:p>
    <w:p>
      <w:pPr>
        <w:pStyle w:val="19"/>
        <w:numPr>
          <w:ilvl w:val="0"/>
          <w:numId w:val="4"/>
        </w:numPr>
        <w:spacing w:after="100" w:line="288" w:lineRule="auto"/>
        <w:rPr>
          <w:rFonts w:ascii="黑体" w:hAnsi="黑体" w:eastAsia="黑体" w:cs="黑体"/>
          <w:bCs/>
          <w:color w:val="auto"/>
          <w:sz w:val="21"/>
          <w:szCs w:val="21"/>
          <w:highlight w:val="none"/>
        </w:rPr>
      </w:pPr>
      <w:bookmarkStart w:id="51" w:name="_Toc10484"/>
      <w:r>
        <w:rPr>
          <w:rFonts w:hint="eastAsia" w:ascii="黑体" w:hAnsi="黑体" w:eastAsia="黑体" w:cs="黑体"/>
          <w:bCs/>
          <w:color w:val="auto"/>
          <w:sz w:val="21"/>
          <w:szCs w:val="21"/>
          <w:highlight w:val="none"/>
        </w:rPr>
        <w:t>测试方法</w:t>
      </w:r>
      <w:bookmarkEnd w:id="45"/>
      <w:bookmarkEnd w:id="46"/>
      <w:bookmarkEnd w:id="47"/>
      <w:bookmarkEnd w:id="48"/>
      <w:bookmarkEnd w:id="49"/>
      <w:bookmarkEnd w:id="51"/>
    </w:p>
    <w:p>
      <w:pPr>
        <w:pStyle w:val="18"/>
        <w:spacing w:line="240" w:lineRule="auto"/>
        <w:ind w:firstLine="499"/>
        <w:jc w:val="both"/>
        <w:rPr>
          <w:rFonts w:hint="eastAsia" w:eastAsia="宋体"/>
          <w:color w:val="auto"/>
          <w:sz w:val="21"/>
          <w:szCs w:val="21"/>
          <w:highlight w:val="none"/>
          <w:lang w:val="en-US" w:eastAsia="zh-CN"/>
        </w:rPr>
      </w:pPr>
      <w:r>
        <w:rPr>
          <w:rFonts w:hint="eastAsia"/>
          <w:color w:val="auto"/>
          <w:sz w:val="21"/>
          <w:szCs w:val="21"/>
          <w:highlight w:val="none"/>
        </w:rPr>
        <w:t>发电机</w:t>
      </w:r>
      <w:r>
        <w:rPr>
          <w:rFonts w:hint="eastAsia"/>
          <w:color w:val="auto"/>
          <w:sz w:val="21"/>
          <w:szCs w:val="21"/>
          <w:highlight w:val="none"/>
          <w:lang w:eastAsia="zh-CN"/>
        </w:rPr>
        <w:t>非承重</w:t>
      </w:r>
      <w:r>
        <w:rPr>
          <w:rFonts w:hint="eastAsia"/>
          <w:color w:val="auto"/>
          <w:sz w:val="21"/>
          <w:szCs w:val="21"/>
          <w:highlight w:val="none"/>
        </w:rPr>
        <w:t>机架的模态测试</w:t>
      </w:r>
      <w:r>
        <w:rPr>
          <w:rFonts w:hint="eastAsia"/>
          <w:color w:val="auto"/>
          <w:sz w:val="21"/>
          <w:szCs w:val="21"/>
          <w:highlight w:val="none"/>
          <w:lang w:val="en-US" w:eastAsia="zh-CN"/>
        </w:rPr>
        <w:t>宜</w:t>
      </w:r>
      <w:r>
        <w:rPr>
          <w:rFonts w:hint="eastAsia"/>
          <w:color w:val="auto"/>
          <w:sz w:val="21"/>
          <w:szCs w:val="21"/>
          <w:highlight w:val="none"/>
        </w:rPr>
        <w:t>采用冲击激励法进行。</w:t>
      </w:r>
      <w:r>
        <w:rPr>
          <w:rFonts w:hint="eastAsia"/>
          <w:color w:val="auto"/>
          <w:sz w:val="21"/>
          <w:szCs w:val="21"/>
          <w:highlight w:val="none"/>
          <w:lang w:val="en-US" w:eastAsia="zh-CN"/>
        </w:rPr>
        <w:t>激励方式分为力锤激励和激振器激励，</w:t>
      </w:r>
      <w:r>
        <w:rPr>
          <w:rFonts w:hint="eastAsia"/>
          <w:color w:val="auto"/>
          <w:sz w:val="21"/>
          <w:szCs w:val="21"/>
          <w:highlight w:val="none"/>
        </w:rPr>
        <w:t>水轮发电机</w:t>
      </w:r>
      <w:r>
        <w:rPr>
          <w:rFonts w:hint="eastAsia"/>
          <w:color w:val="auto"/>
          <w:sz w:val="21"/>
          <w:szCs w:val="21"/>
          <w:highlight w:val="none"/>
          <w:lang w:eastAsia="zh-CN"/>
        </w:rPr>
        <w:t>非承重</w:t>
      </w:r>
      <w:r>
        <w:rPr>
          <w:rFonts w:hint="eastAsia"/>
          <w:color w:val="auto"/>
          <w:sz w:val="21"/>
          <w:szCs w:val="21"/>
          <w:highlight w:val="none"/>
        </w:rPr>
        <w:t>机架模态测试</w:t>
      </w:r>
      <w:r>
        <w:rPr>
          <w:rFonts w:hint="eastAsia"/>
          <w:color w:val="auto"/>
          <w:sz w:val="21"/>
          <w:szCs w:val="21"/>
          <w:highlight w:val="none"/>
          <w:lang w:val="en-US" w:eastAsia="zh-CN"/>
        </w:rPr>
        <w:t>一般采用力锤激励，若力锤激励不能满足现场试验要求，可参考</w:t>
      </w:r>
      <w:r>
        <w:rPr>
          <w:rFonts w:hint="eastAsia"/>
          <w:color w:val="auto"/>
          <w:sz w:val="21"/>
          <w:szCs w:val="21"/>
          <w:highlight w:val="none"/>
        </w:rPr>
        <w:t>GB</w:t>
      </w:r>
      <w:r>
        <w:rPr>
          <w:rFonts w:hint="eastAsia"/>
          <w:color w:val="auto"/>
          <w:sz w:val="21"/>
          <w:szCs w:val="21"/>
          <w:highlight w:val="none"/>
          <w:lang w:val="en-US" w:eastAsia="zh-CN"/>
        </w:rPr>
        <w:t>/</w:t>
      </w:r>
      <w:r>
        <w:rPr>
          <w:rFonts w:hint="eastAsia"/>
          <w:color w:val="auto"/>
          <w:sz w:val="21"/>
          <w:szCs w:val="21"/>
          <w:highlight w:val="none"/>
        </w:rPr>
        <w:t>T11349.2</w:t>
      </w:r>
      <w:r>
        <w:rPr>
          <w:rFonts w:hint="eastAsia"/>
          <w:color w:val="auto"/>
          <w:sz w:val="21"/>
          <w:szCs w:val="21"/>
          <w:highlight w:val="none"/>
          <w:lang w:val="en-US" w:eastAsia="zh-CN"/>
        </w:rPr>
        <w:t>采用激振器激励。</w:t>
      </w:r>
    </w:p>
    <w:p>
      <w:pPr>
        <w:pStyle w:val="18"/>
        <w:spacing w:after="0" w:line="240" w:lineRule="auto"/>
        <w:ind w:firstLine="499"/>
        <w:jc w:val="both"/>
        <w:rPr>
          <w:rFonts w:hint="eastAsia"/>
          <w:color w:val="auto"/>
          <w:sz w:val="21"/>
          <w:szCs w:val="21"/>
          <w:highlight w:val="none"/>
        </w:rPr>
      </w:pPr>
      <w:r>
        <w:rPr>
          <w:rFonts w:hint="eastAsia"/>
          <w:color w:val="auto"/>
          <w:sz w:val="21"/>
          <w:szCs w:val="21"/>
          <w:highlight w:val="none"/>
          <w:lang w:val="en-US" w:eastAsia="zh-CN"/>
        </w:rPr>
        <w:t>借助</w:t>
      </w:r>
      <w:r>
        <w:rPr>
          <w:rFonts w:hint="eastAsia"/>
          <w:color w:val="auto"/>
          <w:sz w:val="21"/>
          <w:szCs w:val="21"/>
          <w:highlight w:val="none"/>
        </w:rPr>
        <w:t>力锤锤击发电机</w:t>
      </w:r>
      <w:r>
        <w:rPr>
          <w:rFonts w:hint="eastAsia"/>
          <w:color w:val="auto"/>
          <w:sz w:val="21"/>
          <w:szCs w:val="21"/>
          <w:highlight w:val="none"/>
          <w:lang w:eastAsia="zh-CN"/>
        </w:rPr>
        <w:t>非承重</w:t>
      </w:r>
      <w:r>
        <w:rPr>
          <w:rFonts w:hint="eastAsia"/>
          <w:color w:val="auto"/>
          <w:sz w:val="21"/>
          <w:szCs w:val="21"/>
          <w:highlight w:val="none"/>
        </w:rPr>
        <w:t>机架，同时用传感器测量其加速度响应，力锤的激励信号和加速度传感器的响应信号通过信号放大器传递至数据采集仪进行数据采集。通过模态分析软件预先设计好发电机</w:t>
      </w:r>
      <w:r>
        <w:rPr>
          <w:rFonts w:hint="eastAsia"/>
          <w:color w:val="auto"/>
          <w:sz w:val="21"/>
          <w:szCs w:val="21"/>
          <w:highlight w:val="none"/>
          <w:lang w:eastAsia="zh-CN"/>
        </w:rPr>
        <w:t>非承重</w:t>
      </w:r>
      <w:r>
        <w:rPr>
          <w:rFonts w:hint="eastAsia"/>
          <w:color w:val="auto"/>
          <w:sz w:val="21"/>
          <w:szCs w:val="21"/>
          <w:highlight w:val="none"/>
        </w:rPr>
        <w:t>机架模型，将测点信号与软件中的设计测点一一对应，通过分析软件计算出发电机</w:t>
      </w:r>
      <w:r>
        <w:rPr>
          <w:rFonts w:hint="eastAsia"/>
          <w:color w:val="auto"/>
          <w:sz w:val="21"/>
          <w:szCs w:val="21"/>
          <w:highlight w:val="none"/>
          <w:lang w:eastAsia="zh-CN"/>
        </w:rPr>
        <w:t>非承重</w:t>
      </w:r>
      <w:r>
        <w:rPr>
          <w:rFonts w:hint="eastAsia"/>
          <w:color w:val="auto"/>
          <w:sz w:val="21"/>
          <w:szCs w:val="21"/>
          <w:highlight w:val="none"/>
        </w:rPr>
        <w:t>机架的频响函数、相位及相干函数，对计算结果做进一步分析，即可得到相应的模态参数、模态振型。图1为典型的模态测试系统。</w:t>
      </w:r>
    </w:p>
    <w:p>
      <w:pPr>
        <w:pStyle w:val="18"/>
        <w:spacing w:after="0" w:line="240" w:lineRule="auto"/>
        <w:ind w:firstLine="499"/>
        <w:jc w:val="both"/>
        <w:rPr>
          <w:rFonts w:hint="eastAsia"/>
          <w:color w:val="auto"/>
          <w:sz w:val="21"/>
          <w:szCs w:val="21"/>
          <w:highlight w:val="none"/>
        </w:rPr>
      </w:pPr>
      <w:r>
        <w:rPr>
          <w:rFonts w:hint="eastAsia"/>
          <w:color w:val="auto"/>
          <w:sz w:val="21"/>
          <w:szCs w:val="21"/>
          <w:highlight w:val="none"/>
        </w:rPr>
        <w:t>单支臂模态测试方法参照整体模态测试方法执行。</w:t>
      </w:r>
    </w:p>
    <w:p>
      <w:pPr>
        <w:pStyle w:val="18"/>
        <w:spacing w:after="0" w:line="240" w:lineRule="auto"/>
        <w:ind w:firstLine="499"/>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模态试验基本原理参见附录A。</w:t>
      </w:r>
    </w:p>
    <w:p>
      <w:pPr>
        <w:pStyle w:val="18"/>
        <w:spacing w:after="0" w:line="240" w:lineRule="auto"/>
        <w:ind w:firstLine="500"/>
        <w:jc w:val="center"/>
        <w:rPr>
          <w:rFonts w:ascii="Times New Roman" w:hAnsi="Times New Roman" w:cs="Times New Roman"/>
          <w:color w:val="auto"/>
          <w:highlight w:val="none"/>
        </w:rPr>
      </w:pPr>
      <w:r>
        <w:rPr>
          <w:rFonts w:ascii="Times New Roman" w:hAnsi="Times New Roman" w:cs="Times New Roman"/>
          <w:color w:val="auto"/>
          <w:highlight w:val="none"/>
        </w:rPr>
        <w:object>
          <v:shape id="_x0000_i1025" o:spt="75" type="#_x0000_t75" style="height:116.8pt;width:426.3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pPr>
        <w:pStyle w:val="18"/>
        <w:spacing w:after="0" w:line="240" w:lineRule="auto"/>
        <w:ind w:firstLine="0"/>
        <w:jc w:val="center"/>
        <w:rPr>
          <w:rFonts w:hint="default"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图1 </w:t>
      </w:r>
      <w:r>
        <w:rPr>
          <w:rFonts w:hint="eastAsia" w:ascii="黑体" w:hAnsi="黑体" w:eastAsia="黑体" w:cs="黑体"/>
          <w:color w:val="auto"/>
          <w:sz w:val="21"/>
          <w:szCs w:val="21"/>
          <w:highlight w:val="none"/>
          <w:lang w:val="en-US" w:eastAsia="zh-CN"/>
        </w:rPr>
        <w:t>典型模态测试系统</w:t>
      </w:r>
    </w:p>
    <w:p>
      <w:pPr>
        <w:pStyle w:val="19"/>
        <w:numPr>
          <w:ilvl w:val="0"/>
          <w:numId w:val="4"/>
        </w:numPr>
        <w:spacing w:after="100" w:line="288" w:lineRule="auto"/>
        <w:rPr>
          <w:rFonts w:ascii="黑体" w:hAnsi="黑体" w:eastAsia="黑体" w:cs="黑体"/>
          <w:bCs/>
          <w:color w:val="auto"/>
          <w:sz w:val="21"/>
          <w:szCs w:val="21"/>
          <w:highlight w:val="none"/>
        </w:rPr>
      </w:pPr>
      <w:bookmarkStart w:id="52" w:name="_Toc20067"/>
      <w:bookmarkStart w:id="53" w:name="_Toc11373"/>
      <w:bookmarkStart w:id="54" w:name="_Toc9564"/>
      <w:bookmarkStart w:id="55" w:name="_Toc19736"/>
      <w:bookmarkStart w:id="56" w:name="_Toc14622"/>
      <w:bookmarkStart w:id="57" w:name="_Toc14490"/>
      <w:r>
        <w:rPr>
          <w:rFonts w:hint="eastAsia" w:ascii="黑体" w:hAnsi="黑体" w:eastAsia="黑体" w:cs="黑体"/>
          <w:bCs/>
          <w:color w:val="auto"/>
          <w:sz w:val="21"/>
          <w:szCs w:val="21"/>
          <w:highlight w:val="none"/>
        </w:rPr>
        <w:t>测试</w:t>
      </w:r>
      <w:r>
        <w:rPr>
          <w:rFonts w:hint="eastAsia" w:ascii="黑体" w:hAnsi="黑体" w:eastAsia="黑体" w:cs="黑体"/>
          <w:bCs/>
          <w:color w:val="auto"/>
          <w:sz w:val="21"/>
          <w:szCs w:val="21"/>
          <w:highlight w:val="none"/>
          <w:lang w:val="en-US" w:eastAsia="zh-CN"/>
        </w:rPr>
        <w:t>条件</w:t>
      </w:r>
      <w:bookmarkEnd w:id="52"/>
    </w:p>
    <w:p>
      <w:pPr>
        <w:pStyle w:val="18"/>
        <w:numPr>
          <w:ilvl w:val="0"/>
          <w:numId w:val="5"/>
        </w:numPr>
        <w:tabs>
          <w:tab w:val="left" w:pos="142"/>
        </w:tabs>
        <w:spacing w:beforeLines="50" w:afterLines="50" w:line="240" w:lineRule="auto"/>
        <w:ind w:left="0" w:firstLine="0"/>
        <w:jc w:val="left"/>
        <w:rPr>
          <w:rFonts w:hint="eastAsia"/>
          <w:color w:val="auto"/>
          <w:sz w:val="21"/>
          <w:szCs w:val="21"/>
          <w:highlight w:val="none"/>
        </w:rPr>
      </w:pPr>
      <w:bookmarkStart w:id="58" w:name="_Toc5057"/>
      <w:bookmarkStart w:id="59" w:name="_Toc173"/>
      <w:r>
        <w:rPr>
          <w:rFonts w:hint="eastAsia"/>
          <w:color w:val="auto"/>
          <w:sz w:val="21"/>
          <w:szCs w:val="21"/>
          <w:highlight w:val="none"/>
        </w:rPr>
        <w:t>水轮发电机</w:t>
      </w:r>
      <w:r>
        <w:rPr>
          <w:rFonts w:hint="eastAsia"/>
          <w:color w:val="auto"/>
          <w:sz w:val="21"/>
          <w:szCs w:val="21"/>
          <w:highlight w:val="none"/>
          <w:lang w:eastAsia="zh-CN"/>
        </w:rPr>
        <w:t>非承重</w:t>
      </w:r>
      <w:r>
        <w:rPr>
          <w:rFonts w:hint="eastAsia"/>
          <w:color w:val="auto"/>
          <w:sz w:val="21"/>
          <w:szCs w:val="21"/>
          <w:highlight w:val="none"/>
        </w:rPr>
        <w:t>机架模态测试宜在工作约束条件下且结构处于</w:t>
      </w:r>
      <w:r>
        <w:rPr>
          <w:rFonts w:hint="eastAsia"/>
          <w:color w:val="auto"/>
          <w:sz w:val="21"/>
          <w:szCs w:val="21"/>
          <w:highlight w:val="none"/>
          <w:lang w:val="en-US" w:eastAsia="zh-CN"/>
        </w:rPr>
        <w:t>停机</w:t>
      </w:r>
      <w:r>
        <w:rPr>
          <w:rFonts w:hint="eastAsia"/>
          <w:color w:val="auto"/>
          <w:sz w:val="21"/>
          <w:szCs w:val="21"/>
          <w:highlight w:val="none"/>
        </w:rPr>
        <w:t>状态下进行</w:t>
      </w:r>
      <w:r>
        <w:rPr>
          <w:rFonts w:hint="eastAsia"/>
          <w:color w:val="auto"/>
          <w:sz w:val="21"/>
          <w:szCs w:val="21"/>
          <w:highlight w:val="none"/>
          <w:lang w:eastAsia="zh-CN"/>
        </w:rPr>
        <w:t>。</w:t>
      </w:r>
    </w:p>
    <w:bookmarkEnd w:id="58"/>
    <w:bookmarkEnd w:id="59"/>
    <w:p>
      <w:pPr>
        <w:pStyle w:val="18"/>
        <w:numPr>
          <w:ilvl w:val="0"/>
          <w:numId w:val="5"/>
        </w:numPr>
        <w:tabs>
          <w:tab w:val="left" w:pos="142"/>
        </w:tabs>
        <w:spacing w:beforeLines="50" w:afterLines="50" w:line="240" w:lineRule="auto"/>
        <w:ind w:left="0" w:firstLine="0"/>
        <w:jc w:val="left"/>
        <w:rPr>
          <w:color w:val="auto"/>
          <w:sz w:val="21"/>
          <w:szCs w:val="21"/>
          <w:highlight w:val="none"/>
        </w:rPr>
      </w:pPr>
      <w:bookmarkStart w:id="60" w:name="_Toc3291"/>
      <w:bookmarkStart w:id="61" w:name="_Toc7767"/>
      <w:r>
        <w:rPr>
          <w:rFonts w:hint="eastAsia"/>
          <w:color w:val="auto"/>
          <w:sz w:val="21"/>
          <w:szCs w:val="21"/>
          <w:highlight w:val="none"/>
        </w:rPr>
        <w:t>试验水轮发电机应做好防止机组转动措施</w:t>
      </w:r>
      <w:bookmarkEnd w:id="60"/>
      <w:bookmarkEnd w:id="61"/>
      <w:r>
        <w:rPr>
          <w:rFonts w:hint="eastAsia"/>
          <w:color w:val="auto"/>
          <w:sz w:val="21"/>
          <w:szCs w:val="21"/>
          <w:highlight w:val="none"/>
          <w:lang w:eastAsia="zh-CN"/>
        </w:rPr>
        <w:t>。</w:t>
      </w:r>
    </w:p>
    <w:p>
      <w:pPr>
        <w:pStyle w:val="18"/>
        <w:numPr>
          <w:ilvl w:val="0"/>
          <w:numId w:val="5"/>
        </w:numPr>
        <w:tabs>
          <w:tab w:val="left" w:pos="142"/>
        </w:tabs>
        <w:spacing w:beforeLines="50" w:afterLines="50" w:line="240" w:lineRule="auto"/>
        <w:ind w:left="0" w:firstLine="0"/>
        <w:jc w:val="left"/>
        <w:rPr>
          <w:rFonts w:hint="eastAsia" w:ascii="宋体" w:hAnsi="宋体" w:eastAsia="宋体" w:cs="宋体"/>
          <w:b w:val="0"/>
          <w:bCs w:val="0"/>
          <w:color w:val="auto"/>
          <w:sz w:val="21"/>
          <w:szCs w:val="21"/>
          <w:highlight w:val="none"/>
        </w:rPr>
      </w:pPr>
      <w:r>
        <w:rPr>
          <w:rFonts w:hint="eastAsia" w:eastAsia="宋体"/>
          <w:b w:val="0"/>
          <w:bCs w:val="0"/>
          <w:color w:val="auto"/>
          <w:sz w:val="21"/>
          <w:szCs w:val="21"/>
          <w:highlight w:val="none"/>
          <w:lang w:val="en-US" w:eastAsia="zh-CN"/>
        </w:rPr>
        <w:t>测试时应避免试验机架承担额外载荷。</w:t>
      </w:r>
    </w:p>
    <w:p>
      <w:pPr>
        <w:pStyle w:val="19"/>
        <w:numPr>
          <w:ilvl w:val="0"/>
          <w:numId w:val="4"/>
        </w:numPr>
        <w:spacing w:after="100" w:line="288" w:lineRule="auto"/>
        <w:rPr>
          <w:rFonts w:ascii="黑体" w:hAnsi="黑体" w:eastAsia="黑体" w:cs="黑体"/>
          <w:bCs/>
          <w:color w:val="auto"/>
          <w:sz w:val="21"/>
          <w:szCs w:val="21"/>
          <w:highlight w:val="none"/>
        </w:rPr>
      </w:pPr>
      <w:bookmarkStart w:id="62" w:name="_Toc1684"/>
      <w:r>
        <w:rPr>
          <w:rFonts w:hint="eastAsia" w:ascii="黑体" w:hAnsi="黑体" w:eastAsia="黑体" w:cs="黑体"/>
          <w:bCs/>
          <w:color w:val="auto"/>
          <w:sz w:val="21"/>
          <w:szCs w:val="21"/>
          <w:highlight w:val="none"/>
        </w:rPr>
        <w:t>测试参数</w:t>
      </w:r>
      <w:bookmarkEnd w:id="53"/>
      <w:bookmarkEnd w:id="54"/>
      <w:bookmarkEnd w:id="55"/>
      <w:bookmarkEnd w:id="56"/>
      <w:bookmarkEnd w:id="57"/>
      <w:bookmarkEnd w:id="62"/>
    </w:p>
    <w:p>
      <w:pPr>
        <w:pStyle w:val="18"/>
        <w:numPr>
          <w:ilvl w:val="0"/>
          <w:numId w:val="6"/>
        </w:numPr>
        <w:spacing w:beforeLines="50" w:afterLines="50" w:line="240" w:lineRule="auto"/>
        <w:ind w:left="0" w:firstLine="0"/>
        <w:jc w:val="left"/>
        <w:rPr>
          <w:rFonts w:ascii="Times New Roman" w:hAnsi="Times New Roman" w:cs="Times New Roman"/>
          <w:color w:val="auto"/>
          <w:sz w:val="21"/>
          <w:szCs w:val="21"/>
          <w:highlight w:val="none"/>
        </w:rPr>
      </w:pPr>
      <w:bookmarkStart w:id="63" w:name="_Toc29229"/>
      <w:bookmarkStart w:id="64" w:name="_Toc11582"/>
      <w:r>
        <w:rPr>
          <w:rFonts w:hint="eastAsia"/>
          <w:color w:val="auto"/>
          <w:sz w:val="21"/>
          <w:szCs w:val="21"/>
          <w:highlight w:val="none"/>
        </w:rPr>
        <w:t>激振力：锤击试验时，用带力传感器的力锤锤击激振</w:t>
      </w:r>
      <w:r>
        <w:rPr>
          <w:rFonts w:ascii="Times New Roman" w:cs="Times New Roman"/>
          <w:color w:val="auto"/>
          <w:sz w:val="21"/>
          <w:szCs w:val="21"/>
          <w:highlight w:val="none"/>
        </w:rPr>
        <w:t>（</w:t>
      </w:r>
      <w:r>
        <w:rPr>
          <w:rFonts w:ascii="Times New Roman" w:hAnsi="Times New Roman" w:cs="Times New Roman"/>
          <w:color w:val="auto"/>
          <w:sz w:val="21"/>
          <w:szCs w:val="21"/>
          <w:highlight w:val="none"/>
        </w:rPr>
        <w:t>N</w:t>
      </w:r>
      <w:r>
        <w:rPr>
          <w:rFonts w:ascii="Times New Roman" w:cs="Times New Roman"/>
          <w:color w:val="auto"/>
          <w:sz w:val="21"/>
          <w:szCs w:val="21"/>
          <w:highlight w:val="none"/>
        </w:rPr>
        <w:t>）</w:t>
      </w:r>
      <w:bookmarkEnd w:id="63"/>
      <w:bookmarkEnd w:id="64"/>
      <w:r>
        <w:rPr>
          <w:rFonts w:hint="eastAsia" w:asci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锤头宜采用柔性锤头。</w:t>
      </w:r>
    </w:p>
    <w:p>
      <w:pPr>
        <w:pStyle w:val="18"/>
        <w:numPr>
          <w:ilvl w:val="0"/>
          <w:numId w:val="6"/>
        </w:numPr>
        <w:spacing w:beforeLines="50" w:afterLines="50" w:line="240" w:lineRule="auto"/>
        <w:ind w:left="0" w:firstLine="0"/>
        <w:rPr>
          <w:color w:val="auto"/>
          <w:sz w:val="21"/>
          <w:szCs w:val="21"/>
          <w:highlight w:val="none"/>
        </w:rPr>
      </w:pPr>
      <w:bookmarkStart w:id="65" w:name="_Toc27478"/>
      <w:bookmarkStart w:id="66" w:name="_Toc5975"/>
      <w:r>
        <w:rPr>
          <w:rFonts w:ascii="Times New Roman" w:cs="Times New Roman"/>
          <w:color w:val="auto"/>
          <w:sz w:val="21"/>
          <w:szCs w:val="21"/>
          <w:highlight w:val="none"/>
        </w:rPr>
        <w:t>响应加速度：锤击试验时，用加速度传感器测量响应信号（</w:t>
      </w:r>
      <w:r>
        <w:rPr>
          <w:rFonts w:ascii="Times New Roman" w:hAnsi="Times New Roman" w:cs="Times New Roman"/>
          <w:color w:val="auto"/>
          <w:sz w:val="21"/>
          <w:szCs w:val="21"/>
          <w:highlight w:val="none"/>
        </w:rPr>
        <w:t>m/s</w:t>
      </w:r>
      <w:r>
        <w:rPr>
          <w:rFonts w:ascii="Times New Roman" w:hAnsi="Times New Roman" w:cs="Times New Roman"/>
          <w:color w:val="auto"/>
          <w:sz w:val="21"/>
          <w:szCs w:val="21"/>
          <w:highlight w:val="none"/>
          <w:vertAlign w:val="superscript"/>
        </w:rPr>
        <w:t>2</w:t>
      </w:r>
      <w:r>
        <w:rPr>
          <w:rFonts w:ascii="Times New Roman" w:cs="Times New Roman"/>
          <w:color w:val="auto"/>
          <w:sz w:val="21"/>
          <w:szCs w:val="21"/>
          <w:highlight w:val="none"/>
        </w:rPr>
        <w:t>）</w:t>
      </w:r>
      <w:bookmarkEnd w:id="65"/>
      <w:bookmarkEnd w:id="66"/>
      <w:r>
        <w:rPr>
          <w:rFonts w:hint="eastAsia"/>
          <w:color w:val="auto"/>
          <w:sz w:val="21"/>
          <w:szCs w:val="21"/>
          <w:highlight w:val="none"/>
          <w:lang w:eastAsia="zh-CN"/>
        </w:rPr>
        <w:t>。</w:t>
      </w:r>
    </w:p>
    <w:p>
      <w:pPr>
        <w:pStyle w:val="18"/>
        <w:numPr>
          <w:ilvl w:val="0"/>
          <w:numId w:val="6"/>
        </w:numPr>
        <w:spacing w:beforeLines="50" w:afterLines="50" w:line="240" w:lineRule="auto"/>
        <w:ind w:left="0" w:firstLine="0"/>
        <w:jc w:val="left"/>
        <w:rPr>
          <w:color w:val="auto"/>
          <w:sz w:val="21"/>
          <w:szCs w:val="21"/>
          <w:highlight w:val="none"/>
        </w:rPr>
      </w:pPr>
      <w:bookmarkStart w:id="67" w:name="_Toc9197"/>
      <w:bookmarkStart w:id="68" w:name="_Toc26606"/>
      <w:r>
        <w:rPr>
          <w:rFonts w:hint="eastAsia"/>
          <w:color w:val="auto"/>
          <w:sz w:val="21"/>
          <w:szCs w:val="21"/>
          <w:highlight w:val="none"/>
          <w:lang w:val="en-US" w:eastAsia="zh-CN"/>
        </w:rPr>
        <w:t>响应</w:t>
      </w:r>
      <w:r>
        <w:rPr>
          <w:rFonts w:hint="eastAsia"/>
          <w:color w:val="auto"/>
          <w:sz w:val="21"/>
          <w:szCs w:val="21"/>
          <w:highlight w:val="none"/>
        </w:rPr>
        <w:t>频率：锤击试验时</w:t>
      </w:r>
      <w:r>
        <w:rPr>
          <w:rFonts w:hint="eastAsia" w:ascii="Times New Roman" w:cs="Times New Roman"/>
          <w:color w:val="auto"/>
          <w:sz w:val="21"/>
          <w:szCs w:val="21"/>
          <w:highlight w:val="none"/>
          <w:lang w:eastAsia="zh-CN"/>
        </w:rPr>
        <w:t>，</w:t>
      </w:r>
      <w:r>
        <w:rPr>
          <w:rFonts w:hint="eastAsia"/>
          <w:color w:val="auto"/>
          <w:sz w:val="21"/>
          <w:szCs w:val="21"/>
          <w:highlight w:val="none"/>
        </w:rPr>
        <w:t>根据机械、水力和电磁因素确定，测量分析的频带</w:t>
      </w:r>
      <w:r>
        <w:rPr>
          <w:rFonts w:hint="eastAsia"/>
          <w:color w:val="auto"/>
          <w:sz w:val="21"/>
          <w:szCs w:val="21"/>
          <w:highlight w:val="none"/>
          <w:lang w:val="en-US" w:eastAsia="zh-CN"/>
        </w:rPr>
        <w:t>上</w:t>
      </w:r>
      <w:r>
        <w:rPr>
          <w:rFonts w:hint="eastAsia"/>
          <w:color w:val="auto"/>
          <w:sz w:val="21"/>
          <w:szCs w:val="21"/>
          <w:highlight w:val="none"/>
        </w:rPr>
        <w:t>限频率一般不低于</w:t>
      </w:r>
      <w:r>
        <w:rPr>
          <w:rFonts w:ascii="Times New Roman" w:hAnsi="Times New Roman" w:cs="Times New Roman"/>
          <w:color w:val="auto"/>
          <w:sz w:val="21"/>
          <w:szCs w:val="21"/>
          <w:highlight w:val="none"/>
        </w:rPr>
        <w:t>200Hz</w:t>
      </w:r>
      <w:r>
        <w:rPr>
          <w:rFonts w:hint="eastAsia" w:ascii="Times New Roman" w:hAnsi="Times New Roman" w:cs="Times New Roman"/>
          <w:color w:val="auto"/>
          <w:sz w:val="21"/>
          <w:szCs w:val="21"/>
          <w:highlight w:val="none"/>
          <w:lang w:eastAsia="zh-CN"/>
        </w:rPr>
        <w:t>。</w:t>
      </w:r>
      <w:bookmarkEnd w:id="67"/>
      <w:bookmarkEnd w:id="68"/>
    </w:p>
    <w:p>
      <w:pPr>
        <w:pStyle w:val="19"/>
        <w:numPr>
          <w:ilvl w:val="0"/>
          <w:numId w:val="4"/>
        </w:numPr>
        <w:spacing w:after="100" w:line="288" w:lineRule="auto"/>
        <w:rPr>
          <w:rFonts w:ascii="黑体" w:hAnsi="黑体" w:eastAsia="黑体" w:cs="黑体"/>
          <w:bCs/>
          <w:color w:val="auto"/>
          <w:sz w:val="21"/>
          <w:szCs w:val="21"/>
          <w:highlight w:val="none"/>
        </w:rPr>
      </w:pPr>
      <w:bookmarkStart w:id="69" w:name="_Toc2553"/>
      <w:bookmarkStart w:id="70" w:name="_Toc17161"/>
      <w:bookmarkStart w:id="71" w:name="_Toc6359"/>
      <w:bookmarkStart w:id="72" w:name="_Toc20937"/>
      <w:bookmarkStart w:id="73" w:name="_Toc10446"/>
      <w:bookmarkStart w:id="74" w:name="_Toc17958"/>
      <w:r>
        <w:rPr>
          <w:rFonts w:hint="eastAsia" w:ascii="黑体" w:hAnsi="黑体" w:eastAsia="黑体" w:cs="黑体"/>
          <w:bCs/>
          <w:color w:val="auto"/>
          <w:sz w:val="21"/>
          <w:szCs w:val="21"/>
          <w:highlight w:val="none"/>
        </w:rPr>
        <w:t>测点布置及要求</w:t>
      </w:r>
      <w:bookmarkEnd w:id="69"/>
      <w:bookmarkEnd w:id="70"/>
      <w:bookmarkEnd w:id="71"/>
      <w:bookmarkEnd w:id="72"/>
      <w:bookmarkEnd w:id="73"/>
      <w:bookmarkEnd w:id="74"/>
    </w:p>
    <w:p>
      <w:pPr>
        <w:pStyle w:val="18"/>
        <w:numPr>
          <w:ilvl w:val="0"/>
          <w:numId w:val="0"/>
        </w:numPr>
        <w:spacing w:beforeLines="50" w:after="0" w:afterLines="50" w:line="240" w:lineRule="auto"/>
        <w:ind w:left="0" w:firstLine="0" w:firstLineChars="0"/>
        <w:rPr>
          <w:rFonts w:hint="default" w:ascii="Times New Roman" w:hAnsi="Times New Roman" w:eastAsia="宋体" w:cs="Times New Roman"/>
          <w:color w:val="auto"/>
          <w:sz w:val="21"/>
          <w:szCs w:val="21"/>
          <w:highlight w:val="none"/>
          <w:lang w:val="en-US" w:eastAsia="zh-CN"/>
        </w:rPr>
      </w:pPr>
      <w:r>
        <w:rPr>
          <w:rFonts w:hint="default" w:ascii="黑体" w:hAnsi="黑体" w:eastAsia="黑体" w:cs="Times New Roman"/>
          <w:color w:val="auto"/>
          <w:kern w:val="2"/>
          <w:sz w:val="21"/>
          <w:szCs w:val="21"/>
          <w:highlight w:val="none"/>
          <w:lang w:val="en-US" w:eastAsia="zh-CN" w:bidi="ar-SA"/>
        </w:rPr>
        <w:t>5.5.1</w:t>
      </w:r>
      <w:r>
        <w:rPr>
          <w:rFonts w:hint="eastAsia" w:ascii="Times New Roman" w:hAnsi="Times New Roman" w:cs="Times New Roman"/>
          <w:color w:val="auto"/>
          <w:sz w:val="21"/>
          <w:szCs w:val="21"/>
          <w:highlight w:val="none"/>
        </w:rPr>
        <w:t>根据不同机组类型、发电机</w:t>
      </w:r>
      <w:r>
        <w:rPr>
          <w:rFonts w:hint="default" w:ascii="Times New Roman" w:hAnsi="Times New Roman" w:cs="Times New Roman"/>
          <w:color w:val="auto"/>
          <w:sz w:val="21"/>
          <w:szCs w:val="21"/>
          <w:highlight w:val="none"/>
          <w:lang w:val="en-US" w:eastAsia="zh-CN"/>
        </w:rPr>
        <w:t>非承重</w:t>
      </w:r>
      <w:r>
        <w:rPr>
          <w:rFonts w:hint="eastAsia" w:ascii="Times New Roman" w:hAnsi="Times New Roman" w:cs="Times New Roman"/>
          <w:color w:val="auto"/>
          <w:sz w:val="21"/>
          <w:szCs w:val="21"/>
          <w:highlight w:val="none"/>
        </w:rPr>
        <w:t>机架的重量和大小及形状进行激励点和响应点布置，</w:t>
      </w:r>
      <w:r>
        <w:rPr>
          <w:rFonts w:hint="default" w:ascii="Times New Roman" w:hAnsi="Times New Roman" w:cs="Times New Roman"/>
          <w:color w:val="auto"/>
          <w:sz w:val="21"/>
          <w:szCs w:val="21"/>
          <w:highlight w:val="none"/>
          <w:lang w:val="en-US" w:eastAsia="zh-CN"/>
        </w:rPr>
        <w:t>通过预试验方法</w:t>
      </w:r>
      <w:r>
        <w:rPr>
          <w:rFonts w:hint="eastAsia" w:ascii="Times New Roman" w:hAnsi="Times New Roman" w:cs="Times New Roman"/>
          <w:color w:val="auto"/>
          <w:sz w:val="21"/>
          <w:szCs w:val="21"/>
          <w:highlight w:val="none"/>
        </w:rPr>
        <w:t>选取合适的激励力锤，</w:t>
      </w:r>
      <w:r>
        <w:rPr>
          <w:rFonts w:hint="default" w:ascii="Times New Roman" w:hAnsi="Times New Roman" w:cs="Times New Roman"/>
          <w:color w:val="auto"/>
          <w:sz w:val="21"/>
          <w:szCs w:val="21"/>
          <w:highlight w:val="none"/>
          <w:lang w:val="en-US" w:eastAsia="zh-CN"/>
        </w:rPr>
        <w:t>力锤大小应</w:t>
      </w:r>
      <w:r>
        <w:rPr>
          <w:rFonts w:ascii="Times New Roman" w:hAnsi="Times New Roman" w:cs="Times New Roman"/>
          <w:color w:val="auto"/>
          <w:sz w:val="21"/>
          <w:szCs w:val="21"/>
          <w:highlight w:val="none"/>
        </w:rPr>
        <w:t>能够激起传感器的响应信号。</w:t>
      </w:r>
      <w:r>
        <w:rPr>
          <w:rFonts w:hint="default" w:ascii="Times New Roman" w:hAnsi="Times New Roman" w:cs="Times New Roman"/>
          <w:color w:val="auto"/>
          <w:sz w:val="21"/>
          <w:szCs w:val="21"/>
          <w:highlight w:val="none"/>
          <w:lang w:val="en-US" w:eastAsia="zh-CN"/>
        </w:rPr>
        <w:t>至少应在机架支臂贴近中心体、支臂中段及支臂末端设置测试断面。</w:t>
      </w:r>
    </w:p>
    <w:p>
      <w:pPr>
        <w:pStyle w:val="18"/>
        <w:numPr>
          <w:ilvl w:val="0"/>
          <w:numId w:val="0"/>
        </w:numPr>
        <w:spacing w:beforeLines="50" w:afterLines="50" w:line="240" w:lineRule="auto"/>
        <w:ind w:left="0" w:firstLine="0"/>
        <w:rPr>
          <w:rFonts w:ascii="Times New Roman" w:hAnsi="Times New Roman" w:cs="Times New Roman"/>
          <w:color w:val="auto"/>
          <w:sz w:val="21"/>
          <w:szCs w:val="21"/>
          <w:highlight w:val="none"/>
        </w:rPr>
      </w:pPr>
      <w:r>
        <w:rPr>
          <w:rFonts w:hint="default" w:ascii="黑体" w:hAnsi="黑体" w:eastAsia="黑体" w:cs="Times New Roman"/>
          <w:color w:val="auto"/>
          <w:kern w:val="2"/>
          <w:sz w:val="21"/>
          <w:szCs w:val="21"/>
          <w:highlight w:val="none"/>
          <w:lang w:val="en-US" w:eastAsia="zh-CN" w:bidi="ar-SA"/>
        </w:rPr>
        <w:t>5.5.2</w:t>
      </w:r>
      <w:r>
        <w:rPr>
          <w:rFonts w:ascii="Times New Roman" w:hAnsi="Times New Roman" w:cs="Times New Roman"/>
          <w:color w:val="auto"/>
          <w:sz w:val="21"/>
          <w:szCs w:val="21"/>
          <w:highlight w:val="none"/>
        </w:rPr>
        <w:t>发电机</w:t>
      </w:r>
      <w:r>
        <w:rPr>
          <w:rFonts w:hint="eastAsia" w:ascii="Times New Roman" w:hAnsi="Times New Roman" w:cs="Times New Roman"/>
          <w:color w:val="auto"/>
          <w:sz w:val="21"/>
          <w:szCs w:val="21"/>
          <w:highlight w:val="none"/>
          <w:lang w:val="en-US" w:eastAsia="zh-CN"/>
        </w:rPr>
        <w:t>非承重</w:t>
      </w:r>
      <w:r>
        <w:rPr>
          <w:rFonts w:ascii="Times New Roman" w:hAnsi="Times New Roman" w:cs="Times New Roman"/>
          <w:color w:val="auto"/>
          <w:sz w:val="21"/>
          <w:szCs w:val="21"/>
          <w:highlight w:val="none"/>
        </w:rPr>
        <w:t>机架模态测试：激励点及响应点位置主要布置在发电机</w:t>
      </w:r>
      <w:r>
        <w:rPr>
          <w:rFonts w:hint="eastAsia" w:ascii="Times New Roman" w:hAnsi="Times New Roman" w:cs="Times New Roman"/>
          <w:color w:val="auto"/>
          <w:sz w:val="21"/>
          <w:szCs w:val="21"/>
          <w:highlight w:val="none"/>
          <w:lang w:eastAsia="zh-CN"/>
        </w:rPr>
        <w:t>非承重</w:t>
      </w:r>
      <w:r>
        <w:rPr>
          <w:rFonts w:ascii="Times New Roman" w:hAnsi="Times New Roman" w:cs="Times New Roman"/>
          <w:color w:val="auto"/>
          <w:sz w:val="21"/>
          <w:szCs w:val="21"/>
          <w:highlight w:val="none"/>
        </w:rPr>
        <w:t>机架各支臂；</w:t>
      </w:r>
      <w:r>
        <w:rPr>
          <w:rFonts w:hint="eastAsia" w:ascii="Times New Roman" w:hAnsi="Times New Roman" w:cs="Times New Roman"/>
          <w:color w:val="auto"/>
          <w:sz w:val="21"/>
          <w:szCs w:val="21"/>
          <w:highlight w:val="none"/>
        </w:rPr>
        <w:t>测点所测得的信号要求有尽可能高的信噪比，测点不应该靠近节点。</w:t>
      </w:r>
      <w:r>
        <w:rPr>
          <w:rFonts w:ascii="Times New Roman" w:hAnsi="Times New Roman" w:cs="Times New Roman"/>
          <w:color w:val="auto"/>
          <w:sz w:val="21"/>
          <w:szCs w:val="21"/>
          <w:highlight w:val="none"/>
        </w:rPr>
        <w:t>其中选取合适支臂作为加速度传感器的固定位置，至少轴向、切向</w:t>
      </w:r>
      <w:r>
        <w:rPr>
          <w:rFonts w:hint="eastAsia" w:ascii="Times New Roman" w:hAnsi="Times New Roman" w:cs="Times New Roman"/>
          <w:color w:val="auto"/>
          <w:sz w:val="21"/>
          <w:szCs w:val="21"/>
          <w:highlight w:val="none"/>
        </w:rPr>
        <w:t>、径向</w:t>
      </w:r>
      <w:r>
        <w:rPr>
          <w:rFonts w:ascii="Times New Roman" w:hAnsi="Times New Roman" w:cs="Times New Roman"/>
          <w:color w:val="auto"/>
          <w:sz w:val="21"/>
          <w:szCs w:val="21"/>
          <w:highlight w:val="none"/>
        </w:rPr>
        <w:t>各布置</w:t>
      </w:r>
      <w:r>
        <w:rPr>
          <w:rFonts w:hint="eastAsia" w:ascii="Times New Roman" w:hAnsi="Times New Roman" w:cs="Times New Roman"/>
          <w:color w:val="auto"/>
          <w:sz w:val="21"/>
          <w:szCs w:val="21"/>
          <w:highlight w:val="none"/>
        </w:rPr>
        <w:t>一个</w:t>
      </w:r>
      <w:r>
        <w:rPr>
          <w:rFonts w:ascii="Times New Roman" w:hAnsi="Times New Roman" w:cs="Times New Roman"/>
          <w:color w:val="auto"/>
          <w:sz w:val="21"/>
          <w:szCs w:val="21"/>
          <w:highlight w:val="none"/>
        </w:rPr>
        <w:t>加速度传感器</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机架模态试</w:t>
      </w:r>
      <w:r>
        <w:rPr>
          <w:rFonts w:hint="eastAsia" w:ascii="Times New Roman" w:hAnsi="Times New Roman" w:cs="Times New Roman"/>
          <w:color w:val="auto"/>
          <w:sz w:val="21"/>
          <w:szCs w:val="21"/>
          <w:highlight w:val="none"/>
        </w:rPr>
        <w:t>测</w:t>
      </w:r>
      <w:r>
        <w:rPr>
          <w:rFonts w:ascii="Times New Roman" w:hAnsi="Times New Roman" w:cs="Times New Roman"/>
          <w:color w:val="auto"/>
          <w:sz w:val="21"/>
          <w:szCs w:val="21"/>
          <w:highlight w:val="none"/>
        </w:rPr>
        <w:t>点布置示意</w:t>
      </w:r>
      <w:r>
        <w:rPr>
          <w:rFonts w:hint="eastAsia" w:ascii="Times New Roman" w:hAnsi="Times New Roman" w:cs="Times New Roman"/>
          <w:color w:val="auto"/>
          <w:sz w:val="21"/>
          <w:szCs w:val="21"/>
          <w:highlight w:val="none"/>
        </w:rPr>
        <w:t>见图2。</w:t>
      </w:r>
    </w:p>
    <w:p>
      <w:pPr>
        <w:pStyle w:val="18"/>
        <w:numPr>
          <w:ilvl w:val="0"/>
          <w:numId w:val="0"/>
        </w:numPr>
        <w:spacing w:beforeLines="50" w:afterLines="50" w:line="240" w:lineRule="auto"/>
        <w:ind w:left="0" w:firstLine="0"/>
        <w:rPr>
          <w:rFonts w:ascii="Times New Roman" w:hAnsi="Times New Roman" w:cs="Times New Roman"/>
          <w:color w:val="auto"/>
          <w:sz w:val="21"/>
          <w:szCs w:val="21"/>
          <w:highlight w:val="none"/>
        </w:rPr>
      </w:pPr>
      <w:r>
        <w:rPr>
          <w:rFonts w:hint="default" w:ascii="黑体" w:hAnsi="黑体" w:eastAsia="黑体" w:cs="Times New Roman"/>
          <w:color w:val="auto"/>
          <w:kern w:val="2"/>
          <w:sz w:val="21"/>
          <w:szCs w:val="21"/>
          <w:highlight w:val="none"/>
          <w:lang w:val="en-US" w:eastAsia="zh-CN" w:bidi="ar-SA"/>
        </w:rPr>
        <w:t>5.5.3</w:t>
      </w:r>
      <w:r>
        <w:rPr>
          <w:rFonts w:ascii="Times New Roman" w:hAnsi="Times New Roman" w:cs="Times New Roman"/>
          <w:color w:val="auto"/>
          <w:sz w:val="21"/>
          <w:szCs w:val="21"/>
          <w:highlight w:val="none"/>
        </w:rPr>
        <w:t>单支臂模态测试：</w:t>
      </w:r>
      <w:r>
        <w:rPr>
          <w:rFonts w:hint="eastAsia" w:ascii="Times New Roman" w:hAnsi="Times New Roman" w:cs="Times New Roman"/>
          <w:color w:val="auto"/>
          <w:sz w:val="21"/>
          <w:szCs w:val="21"/>
          <w:highlight w:val="none"/>
        </w:rPr>
        <w:t>测</w:t>
      </w:r>
      <w:r>
        <w:rPr>
          <w:rFonts w:ascii="Times New Roman" w:hAnsi="Times New Roman" w:cs="Times New Roman"/>
          <w:color w:val="auto"/>
          <w:sz w:val="21"/>
          <w:szCs w:val="21"/>
          <w:highlight w:val="none"/>
        </w:rPr>
        <w:t>点宜布置在</w:t>
      </w:r>
      <w:r>
        <w:rPr>
          <w:rFonts w:hint="eastAsia" w:ascii="Times New Roman" w:hAnsi="Times New Roman" w:cs="Times New Roman"/>
          <w:color w:val="auto"/>
          <w:sz w:val="21"/>
          <w:szCs w:val="21"/>
          <w:highlight w:val="none"/>
          <w:lang w:val="en-US" w:eastAsia="zh-CN"/>
        </w:rPr>
        <w:t>被测支臂</w:t>
      </w:r>
      <w:r>
        <w:rPr>
          <w:rFonts w:ascii="Times New Roman" w:hAnsi="Times New Roman" w:cs="Times New Roman"/>
          <w:color w:val="auto"/>
          <w:sz w:val="21"/>
          <w:szCs w:val="21"/>
          <w:highlight w:val="none"/>
        </w:rPr>
        <w:t>振动形变量较大的地方，并且</w:t>
      </w:r>
      <w:r>
        <w:rPr>
          <w:rFonts w:hint="eastAsia" w:ascii="Times New Roman" w:hAnsi="Times New Roman" w:cs="Times New Roman"/>
          <w:color w:val="auto"/>
          <w:sz w:val="21"/>
          <w:szCs w:val="21"/>
          <w:highlight w:val="none"/>
        </w:rPr>
        <w:t>激励</w:t>
      </w:r>
      <w:r>
        <w:rPr>
          <w:rFonts w:ascii="Times New Roman" w:hAnsi="Times New Roman" w:cs="Times New Roman"/>
          <w:color w:val="auto"/>
          <w:sz w:val="21"/>
          <w:szCs w:val="21"/>
          <w:highlight w:val="none"/>
        </w:rPr>
        <w:t>点应能够激起传感器响应。其中加速度传感器至少轴向、切向</w:t>
      </w:r>
      <w:r>
        <w:rPr>
          <w:rFonts w:hint="eastAsia" w:ascii="Times New Roman" w:hAnsi="Times New Roman" w:cs="Times New Roman"/>
          <w:color w:val="auto"/>
          <w:sz w:val="21"/>
          <w:szCs w:val="21"/>
          <w:highlight w:val="none"/>
        </w:rPr>
        <w:t>、径向</w:t>
      </w:r>
      <w:r>
        <w:rPr>
          <w:rFonts w:ascii="Times New Roman" w:hAnsi="Times New Roman" w:cs="Times New Roman"/>
          <w:color w:val="auto"/>
          <w:sz w:val="21"/>
          <w:szCs w:val="21"/>
          <w:highlight w:val="none"/>
        </w:rPr>
        <w:t>各布置</w:t>
      </w:r>
      <w:r>
        <w:rPr>
          <w:rFonts w:hint="eastAsia" w:ascii="Times New Roman" w:hAnsi="Times New Roman" w:cs="Times New Roman"/>
          <w:color w:val="auto"/>
          <w:sz w:val="21"/>
          <w:szCs w:val="21"/>
          <w:highlight w:val="none"/>
        </w:rPr>
        <w:t>一个</w:t>
      </w:r>
      <w:r>
        <w:rPr>
          <w:rFonts w:ascii="Times New Roman" w:hAnsi="Times New Roman" w:cs="Times New Roman"/>
          <w:color w:val="auto"/>
          <w:sz w:val="21"/>
          <w:szCs w:val="21"/>
          <w:highlight w:val="none"/>
        </w:rPr>
        <w:t>加速度传感器</w:t>
      </w:r>
      <w:r>
        <w:rPr>
          <w:rFonts w:hint="eastAsia" w:ascii="Times New Roman" w:hAnsi="Times New Roman" w:cs="Times New Roman"/>
          <w:color w:val="auto"/>
          <w:sz w:val="21"/>
          <w:szCs w:val="21"/>
          <w:highlight w:val="none"/>
        </w:rPr>
        <w:t>，</w:t>
      </w:r>
      <w:r>
        <w:rPr>
          <w:rFonts w:ascii="Times New Roman" w:hAnsi="Times New Roman" w:cs="Times New Roman"/>
          <w:color w:val="auto"/>
          <w:sz w:val="21"/>
          <w:szCs w:val="21"/>
          <w:highlight w:val="none"/>
        </w:rPr>
        <w:t>单支臂模态试验测点布置示意</w:t>
      </w:r>
      <w:r>
        <w:rPr>
          <w:rFonts w:hint="eastAsia" w:ascii="Times New Roman" w:hAnsi="Times New Roman" w:cs="Times New Roman"/>
          <w:color w:val="auto"/>
          <w:sz w:val="21"/>
          <w:szCs w:val="21"/>
          <w:highlight w:val="none"/>
        </w:rPr>
        <w:t>见图3。</w:t>
      </w:r>
    </w:p>
    <w:p>
      <w:pPr>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2736215" cy="2696845"/>
            <wp:effectExtent l="0" t="0" r="6985"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grayscl/>
                    </a:blip>
                    <a:srcRect l="5984" t="6859"/>
                    <a:stretch>
                      <a:fillRect/>
                    </a:stretch>
                  </pic:blipFill>
                  <pic:spPr>
                    <a:xfrm>
                      <a:off x="0" y="0"/>
                      <a:ext cx="2736215" cy="269684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before="156" w:beforeLines="50"/>
        <w:jc w:val="center"/>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图</w:t>
      </w:r>
      <w:r>
        <w:rPr>
          <w:rFonts w:hint="eastAsia" w:ascii="黑体" w:hAnsi="黑体" w:eastAsia="黑体" w:cs="黑体"/>
          <w:b/>
          <w:bCs/>
          <w:color w:val="auto"/>
          <w:sz w:val="21"/>
          <w:szCs w:val="21"/>
          <w:highlight w:val="none"/>
        </w:rPr>
        <w:t>2</w:t>
      </w:r>
      <w:r>
        <w:rPr>
          <w:rFonts w:hint="eastAsia" w:ascii="黑体" w:hAnsi="黑体" w:eastAsia="黑体" w:cs="黑体"/>
          <w:color w:val="auto"/>
          <w:sz w:val="21"/>
          <w:szCs w:val="21"/>
          <w:highlight w:val="none"/>
        </w:rPr>
        <w:t>发电机</w:t>
      </w:r>
      <w:r>
        <w:rPr>
          <w:rFonts w:hint="eastAsia" w:ascii="黑体" w:hAnsi="黑体" w:eastAsia="黑体" w:cs="黑体"/>
          <w:color w:val="auto"/>
          <w:sz w:val="21"/>
          <w:szCs w:val="21"/>
          <w:highlight w:val="none"/>
          <w:lang w:eastAsia="zh-CN"/>
        </w:rPr>
        <w:t>非承重</w:t>
      </w:r>
      <w:r>
        <w:rPr>
          <w:rFonts w:hint="eastAsia" w:ascii="黑体" w:hAnsi="黑体" w:eastAsia="黑体" w:cs="黑体"/>
          <w:color w:val="auto"/>
          <w:sz w:val="21"/>
          <w:szCs w:val="21"/>
          <w:highlight w:val="none"/>
        </w:rPr>
        <w:t>机架模态试验测点布置示意图</w:t>
      </w:r>
    </w:p>
    <w:p>
      <w:pPr>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2736215" cy="1556385"/>
            <wp:effectExtent l="0" t="0" r="6985" b="1333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9">
                      <a:grayscl/>
                    </a:blip>
                    <a:stretch>
                      <a:fillRect/>
                    </a:stretch>
                  </pic:blipFill>
                  <pic:spPr>
                    <a:xfrm>
                      <a:off x="0" y="0"/>
                      <a:ext cx="2736215" cy="1556385"/>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spacing w:before="156" w:beforeLines="50"/>
        <w:jc w:val="center"/>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图</w:t>
      </w:r>
      <w:r>
        <w:rPr>
          <w:rFonts w:hint="eastAsia" w:ascii="黑体" w:hAnsi="黑体" w:eastAsia="黑体" w:cs="黑体"/>
          <w:b/>
          <w:bCs/>
          <w:color w:val="auto"/>
          <w:sz w:val="21"/>
          <w:szCs w:val="21"/>
          <w:highlight w:val="none"/>
        </w:rPr>
        <w:t>3</w:t>
      </w:r>
      <w:r>
        <w:rPr>
          <w:rFonts w:hint="eastAsia" w:ascii="黑体" w:hAnsi="黑体" w:eastAsia="黑体" w:cs="黑体"/>
          <w:color w:val="auto"/>
          <w:sz w:val="21"/>
          <w:szCs w:val="21"/>
          <w:highlight w:val="none"/>
        </w:rPr>
        <w:t>发电机</w:t>
      </w:r>
      <w:r>
        <w:rPr>
          <w:rFonts w:hint="eastAsia" w:ascii="黑体" w:hAnsi="黑体" w:eastAsia="黑体" w:cs="黑体"/>
          <w:color w:val="auto"/>
          <w:sz w:val="21"/>
          <w:szCs w:val="21"/>
          <w:highlight w:val="none"/>
          <w:lang w:eastAsia="zh-CN"/>
        </w:rPr>
        <w:t>非承重</w:t>
      </w:r>
      <w:r>
        <w:rPr>
          <w:rFonts w:hint="eastAsia" w:ascii="黑体" w:hAnsi="黑体" w:eastAsia="黑体" w:cs="黑体"/>
          <w:color w:val="auto"/>
          <w:sz w:val="21"/>
          <w:szCs w:val="21"/>
          <w:highlight w:val="none"/>
        </w:rPr>
        <w:t>机架单支臂模态试验测点布置示意图</w:t>
      </w:r>
    </w:p>
    <w:p>
      <w:pPr>
        <w:pStyle w:val="19"/>
        <w:numPr>
          <w:ilvl w:val="0"/>
          <w:numId w:val="4"/>
        </w:numPr>
        <w:spacing w:after="100" w:line="288" w:lineRule="auto"/>
        <w:rPr>
          <w:rFonts w:ascii="黑体" w:hAnsi="黑体" w:eastAsia="黑体" w:cs="黑体"/>
          <w:bCs/>
          <w:color w:val="auto"/>
          <w:sz w:val="21"/>
          <w:szCs w:val="21"/>
          <w:highlight w:val="none"/>
        </w:rPr>
      </w:pPr>
      <w:bookmarkStart w:id="75" w:name="_Toc14029"/>
      <w:bookmarkStart w:id="76" w:name="_Toc16645"/>
      <w:bookmarkStart w:id="77" w:name="_Toc20996"/>
      <w:bookmarkStart w:id="78" w:name="_Toc29942"/>
      <w:bookmarkStart w:id="79" w:name="_Toc18289"/>
      <w:bookmarkStart w:id="80" w:name="_Toc4846"/>
      <w:r>
        <w:rPr>
          <w:rFonts w:hint="eastAsia" w:ascii="黑体" w:hAnsi="黑体" w:eastAsia="黑体" w:cs="黑体"/>
          <w:bCs/>
          <w:color w:val="auto"/>
          <w:sz w:val="21"/>
          <w:szCs w:val="21"/>
          <w:highlight w:val="none"/>
        </w:rPr>
        <w:t>测试步骤</w:t>
      </w:r>
      <w:bookmarkEnd w:id="75"/>
      <w:bookmarkEnd w:id="76"/>
      <w:bookmarkEnd w:id="77"/>
      <w:bookmarkEnd w:id="78"/>
      <w:bookmarkEnd w:id="79"/>
      <w:bookmarkEnd w:id="80"/>
    </w:p>
    <w:p>
      <w:pPr>
        <w:pStyle w:val="18"/>
        <w:numPr>
          <w:ilvl w:val="0"/>
          <w:numId w:val="7"/>
        </w:numPr>
        <w:tabs>
          <w:tab w:val="left" w:pos="426"/>
        </w:tabs>
        <w:spacing w:beforeLines="50" w:afterLines="50" w:line="240" w:lineRule="auto"/>
        <w:ind w:left="0" w:firstLine="0"/>
        <w:jc w:val="left"/>
        <w:rPr>
          <w:color w:val="auto"/>
          <w:sz w:val="21"/>
          <w:szCs w:val="21"/>
          <w:highlight w:val="none"/>
        </w:rPr>
      </w:pPr>
      <w:r>
        <w:rPr>
          <w:rFonts w:hint="eastAsia"/>
          <w:color w:val="auto"/>
          <w:sz w:val="21"/>
          <w:szCs w:val="21"/>
          <w:highlight w:val="none"/>
        </w:rPr>
        <w:t>将试验设备与力锤、传感器连接完成，加速度传感器安装到位。</w:t>
      </w:r>
    </w:p>
    <w:p>
      <w:pPr>
        <w:pStyle w:val="18"/>
        <w:numPr>
          <w:ilvl w:val="0"/>
          <w:numId w:val="7"/>
        </w:numPr>
        <w:tabs>
          <w:tab w:val="left" w:pos="426"/>
        </w:tabs>
        <w:spacing w:beforeLines="50" w:afterLines="50" w:line="240" w:lineRule="auto"/>
        <w:ind w:left="0" w:firstLine="0"/>
        <w:jc w:val="left"/>
        <w:rPr>
          <w:color w:val="auto"/>
          <w:sz w:val="21"/>
          <w:szCs w:val="21"/>
          <w:highlight w:val="none"/>
        </w:rPr>
      </w:pPr>
      <w:r>
        <w:rPr>
          <w:rFonts w:hint="eastAsia"/>
          <w:color w:val="auto"/>
          <w:sz w:val="21"/>
          <w:szCs w:val="21"/>
          <w:highlight w:val="none"/>
        </w:rPr>
        <w:t>模态分析软件预先设计好水轮发电机</w:t>
      </w:r>
      <w:r>
        <w:rPr>
          <w:rFonts w:hint="eastAsia"/>
          <w:color w:val="auto"/>
          <w:sz w:val="21"/>
          <w:szCs w:val="21"/>
          <w:highlight w:val="none"/>
          <w:lang w:eastAsia="zh-CN"/>
        </w:rPr>
        <w:t>非承重</w:t>
      </w:r>
      <w:r>
        <w:rPr>
          <w:rFonts w:hint="eastAsia"/>
          <w:color w:val="auto"/>
          <w:sz w:val="21"/>
          <w:szCs w:val="21"/>
          <w:highlight w:val="none"/>
        </w:rPr>
        <w:t>机架模型，以及激励点、响应点位置。</w:t>
      </w:r>
    </w:p>
    <w:p>
      <w:pPr>
        <w:pStyle w:val="18"/>
        <w:numPr>
          <w:ilvl w:val="0"/>
          <w:numId w:val="7"/>
        </w:numPr>
        <w:tabs>
          <w:tab w:val="left" w:pos="426"/>
        </w:tabs>
        <w:spacing w:beforeLines="50" w:afterLines="50" w:line="240" w:lineRule="auto"/>
        <w:ind w:left="0" w:firstLine="0"/>
        <w:jc w:val="left"/>
        <w:rPr>
          <w:color w:val="auto"/>
          <w:sz w:val="21"/>
          <w:szCs w:val="21"/>
          <w:highlight w:val="none"/>
        </w:rPr>
      </w:pPr>
      <w:r>
        <w:rPr>
          <w:rFonts w:hint="eastAsia"/>
          <w:color w:val="auto"/>
          <w:sz w:val="21"/>
          <w:szCs w:val="21"/>
          <w:highlight w:val="none"/>
        </w:rPr>
        <w:t>验证力锤及加速度传感器的灵敏度。利用力锤在距离加速度传感器最远激励点进行锤击，对布置在水轮发电机</w:t>
      </w:r>
      <w:r>
        <w:rPr>
          <w:rFonts w:hint="eastAsia"/>
          <w:color w:val="auto"/>
          <w:sz w:val="21"/>
          <w:szCs w:val="21"/>
          <w:highlight w:val="none"/>
          <w:lang w:eastAsia="zh-CN"/>
        </w:rPr>
        <w:t>非承重</w:t>
      </w:r>
      <w:r>
        <w:rPr>
          <w:rFonts w:hint="eastAsia"/>
          <w:color w:val="auto"/>
          <w:sz w:val="21"/>
          <w:szCs w:val="21"/>
          <w:highlight w:val="none"/>
        </w:rPr>
        <w:t>机架其中一支臂的轴向、切向、径向的加速度传感器进行灵敏度验证。</w:t>
      </w:r>
    </w:p>
    <w:p>
      <w:pPr>
        <w:pStyle w:val="18"/>
        <w:numPr>
          <w:ilvl w:val="0"/>
          <w:numId w:val="7"/>
        </w:numPr>
        <w:tabs>
          <w:tab w:val="left" w:pos="426"/>
        </w:tabs>
        <w:spacing w:beforeLines="50" w:afterLines="50" w:line="240" w:lineRule="auto"/>
        <w:ind w:left="0" w:firstLine="0"/>
        <w:jc w:val="left"/>
        <w:rPr>
          <w:color w:val="auto"/>
          <w:sz w:val="21"/>
          <w:szCs w:val="21"/>
          <w:highlight w:val="none"/>
        </w:rPr>
      </w:pPr>
      <w:r>
        <w:rPr>
          <w:rFonts w:hint="eastAsia"/>
          <w:color w:val="auto"/>
          <w:sz w:val="21"/>
          <w:szCs w:val="21"/>
          <w:highlight w:val="none"/>
        </w:rPr>
        <w:t>传感器位置及数量应保证力锤在距离最远激励点进行锤击能够激起传感器的响应。</w:t>
      </w:r>
    </w:p>
    <w:p>
      <w:pPr>
        <w:pStyle w:val="18"/>
        <w:numPr>
          <w:ilvl w:val="0"/>
          <w:numId w:val="7"/>
        </w:numPr>
        <w:tabs>
          <w:tab w:val="left" w:pos="426"/>
        </w:tabs>
        <w:spacing w:beforeLines="50" w:afterLines="50" w:line="240" w:lineRule="auto"/>
        <w:ind w:left="0" w:firstLine="0"/>
        <w:jc w:val="left"/>
        <w:rPr>
          <w:color w:val="auto"/>
          <w:sz w:val="21"/>
          <w:szCs w:val="21"/>
          <w:highlight w:val="none"/>
        </w:rPr>
      </w:pPr>
      <w:r>
        <w:rPr>
          <w:rFonts w:hint="eastAsia"/>
          <w:color w:val="auto"/>
          <w:sz w:val="21"/>
          <w:szCs w:val="21"/>
          <w:highlight w:val="none"/>
        </w:rPr>
        <w:t>确定好传感器位置，移动力锤，锤击预设激励点，进行测试，每个激励点敲击不少</w:t>
      </w:r>
      <w:r>
        <w:rPr>
          <w:rFonts w:hint="eastAsia" w:ascii="Times New Roman" w:cs="Times New Roman"/>
          <w:color w:val="auto"/>
          <w:sz w:val="21"/>
          <w:szCs w:val="21"/>
          <w:highlight w:val="none"/>
        </w:rPr>
        <w:t>于</w:t>
      </w:r>
      <w:r>
        <w:rPr>
          <w:rFonts w:ascii="Times New Roman" w:hAnsi="Times New Roman" w:cs="Times New Roman"/>
          <w:color w:val="auto"/>
          <w:sz w:val="21"/>
          <w:szCs w:val="21"/>
          <w:highlight w:val="none"/>
        </w:rPr>
        <w:t>2</w:t>
      </w:r>
      <w:r>
        <w:rPr>
          <w:rFonts w:hint="eastAsia" w:ascii="Times New Roman" w:cs="Times New Roman"/>
          <w:color w:val="auto"/>
          <w:sz w:val="21"/>
          <w:szCs w:val="21"/>
          <w:highlight w:val="none"/>
        </w:rPr>
        <w:t>次，建议</w:t>
      </w:r>
      <w:r>
        <w:rPr>
          <w:rFonts w:ascii="Times New Roman" w:hAnsi="Times New Roman" w:cs="Times New Roman"/>
          <w:color w:val="auto"/>
          <w:sz w:val="21"/>
          <w:szCs w:val="21"/>
          <w:highlight w:val="none"/>
        </w:rPr>
        <w:t>3-5</w:t>
      </w:r>
      <w:r>
        <w:rPr>
          <w:rFonts w:hint="eastAsia" w:ascii="Times New Roman" w:cs="Times New Roman"/>
          <w:color w:val="auto"/>
          <w:sz w:val="21"/>
          <w:szCs w:val="21"/>
          <w:highlight w:val="none"/>
        </w:rPr>
        <w:t>次，确保每次敲击加速度传感器均有响应，</w:t>
      </w:r>
      <w:r>
        <w:rPr>
          <w:rFonts w:hint="eastAsia" w:ascii="Times New Roman" w:cs="Times New Roman"/>
          <w:color w:val="auto"/>
          <w:sz w:val="21"/>
          <w:szCs w:val="21"/>
          <w:highlight w:val="none"/>
          <w:lang w:val="en-US" w:eastAsia="zh-CN"/>
        </w:rPr>
        <w:t>当</w:t>
      </w:r>
      <w:r>
        <w:rPr>
          <w:rFonts w:hint="eastAsia" w:ascii="Times New Roman" w:cs="Times New Roman"/>
          <w:color w:val="auto"/>
          <w:sz w:val="21"/>
          <w:szCs w:val="21"/>
          <w:highlight w:val="none"/>
        </w:rPr>
        <w:t>相干函数幅值大于</w:t>
      </w:r>
      <w:r>
        <w:rPr>
          <w:rFonts w:ascii="Times New Roman" w:hAnsi="Times New Roman" w:cs="Times New Roman"/>
          <w:color w:val="auto"/>
          <w:sz w:val="21"/>
          <w:szCs w:val="21"/>
          <w:highlight w:val="none"/>
        </w:rPr>
        <w:t>0.8</w:t>
      </w:r>
      <w:r>
        <w:rPr>
          <w:rFonts w:hint="eastAsia" w:ascii="Times New Roman" w:hAnsi="Times New Roman" w:cs="Times New Roman"/>
          <w:color w:val="auto"/>
          <w:sz w:val="21"/>
          <w:szCs w:val="21"/>
          <w:highlight w:val="none"/>
          <w:lang w:val="en-US" w:eastAsia="zh-CN"/>
        </w:rPr>
        <w:t>时</w:t>
      </w:r>
      <w:r>
        <w:rPr>
          <w:rFonts w:hint="eastAsia" w:ascii="Times New Roman" w:cs="Times New Roman"/>
          <w:color w:val="auto"/>
          <w:sz w:val="21"/>
          <w:szCs w:val="21"/>
          <w:highlight w:val="none"/>
        </w:rPr>
        <w:t>，测试结果可信</w:t>
      </w:r>
      <w:r>
        <w:rPr>
          <w:rFonts w:hint="eastAsia"/>
          <w:color w:val="auto"/>
          <w:sz w:val="21"/>
          <w:szCs w:val="21"/>
          <w:highlight w:val="none"/>
        </w:rPr>
        <w:t>。</w:t>
      </w:r>
    </w:p>
    <w:p>
      <w:pPr>
        <w:pStyle w:val="18"/>
        <w:numPr>
          <w:ilvl w:val="0"/>
          <w:numId w:val="7"/>
        </w:numPr>
        <w:tabs>
          <w:tab w:val="left" w:pos="426"/>
        </w:tabs>
        <w:spacing w:beforeLines="50" w:afterLines="50" w:line="240" w:lineRule="auto"/>
        <w:ind w:left="0" w:firstLine="0"/>
        <w:jc w:val="left"/>
        <w:rPr>
          <w:color w:val="auto"/>
          <w:sz w:val="21"/>
          <w:szCs w:val="21"/>
          <w:highlight w:val="none"/>
        </w:rPr>
      </w:pPr>
      <w:r>
        <w:rPr>
          <w:rFonts w:hint="eastAsia"/>
          <w:color w:val="auto"/>
          <w:sz w:val="21"/>
          <w:szCs w:val="21"/>
          <w:highlight w:val="none"/>
        </w:rPr>
        <w:t>敲击完成后，保存测试数据。</w:t>
      </w:r>
    </w:p>
    <w:p>
      <w:pPr>
        <w:pStyle w:val="19"/>
        <w:numPr>
          <w:ilvl w:val="0"/>
          <w:numId w:val="4"/>
        </w:numPr>
        <w:spacing w:after="100" w:line="288" w:lineRule="auto"/>
        <w:rPr>
          <w:rFonts w:hint="eastAsia" w:ascii="黑体" w:hAnsi="黑体" w:eastAsia="黑体" w:cs="黑体"/>
          <w:bCs/>
          <w:color w:val="auto"/>
          <w:sz w:val="21"/>
          <w:szCs w:val="21"/>
          <w:highlight w:val="none"/>
          <w:lang w:val="en-US" w:eastAsia="zh-CN"/>
        </w:rPr>
      </w:pPr>
      <w:r>
        <w:rPr>
          <w:rFonts w:hint="eastAsia" w:ascii="黑体" w:hAnsi="黑体" w:eastAsia="黑体" w:cs="黑体"/>
          <w:bCs/>
          <w:color w:val="auto"/>
          <w:sz w:val="21"/>
          <w:szCs w:val="21"/>
          <w:highlight w:val="none"/>
          <w:lang w:val="en-US" w:eastAsia="zh-CN"/>
        </w:rPr>
        <w:t>模态测试分析</w:t>
      </w:r>
    </w:p>
    <w:p>
      <w:pPr>
        <w:pStyle w:val="19"/>
        <w:spacing w:before="156" w:after="156"/>
        <w:rPr>
          <w:rFonts w:hint="eastAsia" w:ascii="黑体" w:hAnsi="黑体" w:eastAsia="黑体" w:cs="黑体"/>
          <w:bCs/>
          <w:color w:val="auto"/>
          <w:sz w:val="21"/>
          <w:szCs w:val="21"/>
          <w:highlight w:val="none"/>
        </w:rPr>
      </w:pPr>
      <w:r>
        <w:rPr>
          <w:rFonts w:hint="eastAsia" w:ascii="黑体" w:hAnsi="黑体" w:eastAsia="黑体" w:cs="黑体"/>
          <w:bCs/>
          <w:color w:val="auto"/>
          <w:sz w:val="21"/>
          <w:szCs w:val="21"/>
          <w:highlight w:val="none"/>
          <w:lang w:val="en-US" w:eastAsia="zh-CN"/>
        </w:rPr>
        <w:t>5.7.1</w:t>
      </w:r>
      <w:r>
        <w:rPr>
          <w:rFonts w:hint="eastAsia" w:ascii="宋体" w:hAnsi="宋体" w:eastAsia="宋体" w:cs="宋体"/>
          <w:bCs/>
          <w:color w:val="auto"/>
          <w:sz w:val="21"/>
          <w:szCs w:val="21"/>
          <w:highlight w:val="none"/>
        </w:rPr>
        <w:t>将测试数据与模型进行数据处理，进行频响函数计算，计算每个测点频响函数。</w:t>
      </w:r>
    </w:p>
    <w:p>
      <w:pPr>
        <w:pStyle w:val="19"/>
        <w:spacing w:before="156" w:after="156"/>
        <w:rPr>
          <w:rFonts w:hint="eastAsia" w:ascii="黑体" w:hAnsi="黑体" w:eastAsia="黑体" w:cs="黑体"/>
          <w:bCs/>
          <w:color w:val="auto"/>
          <w:sz w:val="21"/>
          <w:szCs w:val="21"/>
          <w:highlight w:val="none"/>
        </w:rPr>
      </w:pPr>
      <w:r>
        <w:rPr>
          <w:rFonts w:hint="eastAsia" w:ascii="黑体" w:hAnsi="黑体" w:eastAsia="黑体" w:cs="黑体"/>
          <w:bCs/>
          <w:color w:val="auto"/>
          <w:sz w:val="21"/>
          <w:szCs w:val="21"/>
          <w:highlight w:val="none"/>
          <w:lang w:val="en-US" w:eastAsia="zh-CN"/>
        </w:rPr>
        <w:t>5.7.2</w:t>
      </w:r>
      <w:r>
        <w:rPr>
          <w:rFonts w:hint="eastAsia" w:ascii="宋体" w:hAnsi="宋体" w:eastAsia="宋体" w:cs="宋体"/>
          <w:bCs/>
          <w:color w:val="auto"/>
          <w:sz w:val="21"/>
          <w:szCs w:val="21"/>
          <w:highlight w:val="none"/>
        </w:rPr>
        <w:t>利用模态软件进行模态拟合，得到水轮发电机</w:t>
      </w:r>
      <w:r>
        <w:rPr>
          <w:rFonts w:hint="eastAsia" w:ascii="宋体" w:hAnsi="宋体" w:eastAsia="宋体" w:cs="宋体"/>
          <w:bCs/>
          <w:color w:val="auto"/>
          <w:sz w:val="21"/>
          <w:szCs w:val="21"/>
          <w:highlight w:val="none"/>
          <w:lang w:eastAsia="zh-CN"/>
        </w:rPr>
        <w:t>非承重</w:t>
      </w:r>
      <w:r>
        <w:rPr>
          <w:rFonts w:hint="eastAsia" w:ascii="宋体" w:hAnsi="宋体" w:eastAsia="宋体" w:cs="宋体"/>
          <w:bCs/>
          <w:color w:val="auto"/>
          <w:sz w:val="21"/>
          <w:szCs w:val="21"/>
          <w:highlight w:val="none"/>
        </w:rPr>
        <w:t>机架的固有频率，阻尼比以及模态振型。</w:t>
      </w:r>
    </w:p>
    <w:p>
      <w:pPr>
        <w:pStyle w:val="19"/>
        <w:spacing w:before="156" w:after="156"/>
        <w:rPr>
          <w:rFonts w:hint="eastAsia" w:ascii="黑体" w:hAnsi="黑体" w:eastAsia="黑体" w:cs="黑体"/>
          <w:bCs/>
          <w:color w:val="auto"/>
          <w:sz w:val="21"/>
          <w:szCs w:val="21"/>
          <w:highlight w:val="none"/>
          <w:lang w:val="en-US" w:eastAsia="zh-CN"/>
        </w:rPr>
      </w:pPr>
      <w:r>
        <w:rPr>
          <w:rFonts w:hint="eastAsia" w:ascii="黑体" w:hAnsi="黑体" w:eastAsia="黑体" w:cs="黑体"/>
          <w:bCs/>
          <w:color w:val="auto"/>
          <w:sz w:val="21"/>
          <w:szCs w:val="21"/>
          <w:highlight w:val="none"/>
          <w:lang w:val="en-US" w:eastAsia="zh-CN"/>
        </w:rPr>
        <w:t>5.7.3</w:t>
      </w:r>
      <w:r>
        <w:rPr>
          <w:rFonts w:hint="eastAsia" w:ascii="宋体" w:hAnsi="宋体" w:eastAsia="宋体" w:cs="宋体"/>
          <w:bCs/>
          <w:color w:val="auto"/>
          <w:sz w:val="21"/>
          <w:szCs w:val="21"/>
          <w:highlight w:val="none"/>
          <w:lang w:val="en-US" w:eastAsia="zh-CN"/>
        </w:rPr>
        <w:t>结合幅频特性、相干函数复制、数值模拟结果，综合评判测试结果。（校对）</w:t>
      </w:r>
    </w:p>
    <w:p>
      <w:pPr>
        <w:pStyle w:val="19"/>
        <w:numPr>
          <w:ilvl w:val="0"/>
          <w:numId w:val="4"/>
        </w:numPr>
        <w:spacing w:after="100" w:line="288" w:lineRule="auto"/>
        <w:ind w:left="0" w:firstLine="0"/>
        <w:rPr>
          <w:rFonts w:hint="eastAsia" w:ascii="黑体" w:hAnsi="黑体" w:eastAsia="黑体" w:cs="黑体"/>
          <w:bCs/>
          <w:color w:val="auto"/>
          <w:sz w:val="21"/>
          <w:szCs w:val="21"/>
          <w:highlight w:val="none"/>
        </w:rPr>
      </w:pPr>
      <w:bookmarkStart w:id="81" w:name="_Toc18937"/>
      <w:bookmarkStart w:id="82" w:name="_Toc3055"/>
      <w:bookmarkStart w:id="83" w:name="_Toc7664"/>
      <w:bookmarkStart w:id="84" w:name="_Toc30970"/>
      <w:bookmarkStart w:id="85" w:name="_Toc31075"/>
      <w:bookmarkStart w:id="86" w:name="_Toc11300"/>
      <w:r>
        <w:rPr>
          <w:rFonts w:hint="eastAsia" w:ascii="黑体" w:hAnsi="黑体" w:eastAsia="黑体" w:cs="黑体"/>
          <w:bCs/>
          <w:color w:val="auto"/>
          <w:sz w:val="21"/>
          <w:szCs w:val="21"/>
          <w:highlight w:val="none"/>
        </w:rPr>
        <w:t>测试</w:t>
      </w:r>
      <w:r>
        <w:rPr>
          <w:rFonts w:hint="eastAsia" w:ascii="黑体" w:hAnsi="黑体" w:eastAsia="黑体" w:cs="黑体"/>
          <w:bCs/>
          <w:color w:val="auto"/>
          <w:sz w:val="21"/>
          <w:szCs w:val="21"/>
          <w:highlight w:val="none"/>
          <w:lang w:val="en-US" w:eastAsia="zh-CN"/>
        </w:rPr>
        <w:t>结果</w:t>
      </w:r>
      <w:bookmarkEnd w:id="81"/>
      <w:bookmarkEnd w:id="82"/>
      <w:bookmarkEnd w:id="83"/>
      <w:bookmarkEnd w:id="84"/>
      <w:bookmarkEnd w:id="85"/>
      <w:bookmarkEnd w:id="86"/>
    </w:p>
    <w:p>
      <w:pPr>
        <w:pStyle w:val="19"/>
        <w:keepNext w:val="0"/>
        <w:keepLines w:val="0"/>
        <w:pageBreakBefore w:val="0"/>
        <w:widowControl/>
        <w:numPr>
          <w:ilvl w:val="-1"/>
          <w:numId w:val="0"/>
        </w:numPr>
        <w:kinsoku/>
        <w:wordWrap/>
        <w:overflowPunct/>
        <w:topLinePunct w:val="0"/>
        <w:autoSpaceDE/>
        <w:autoSpaceDN/>
        <w:bidi w:val="0"/>
        <w:adjustRightInd/>
        <w:snapToGrid/>
        <w:spacing w:before="156" w:beforeLines="-2147483648" w:after="156" w:afterLines="-2147483648" w:line="240" w:lineRule="auto"/>
        <w:ind w:left="0" w:leftChars="0" w:firstLine="0" w:firstLineChars="0"/>
        <w:jc w:val="left"/>
        <w:textAlignment w:val="auto"/>
        <w:rPr>
          <w:rFonts w:hint="eastAsia" w:ascii="黑体" w:hAnsi="黑体" w:eastAsia="黑体" w:cs="黑体"/>
          <w:bCs/>
          <w:color w:val="auto"/>
          <w:sz w:val="21"/>
          <w:szCs w:val="21"/>
          <w:highlight w:val="none"/>
        </w:rPr>
      </w:pPr>
      <w:r>
        <w:rPr>
          <w:rFonts w:hint="eastAsia" w:ascii="黑体" w:hAnsi="黑体" w:eastAsia="黑体" w:cs="黑体"/>
          <w:bCs/>
          <w:color w:val="auto"/>
          <w:sz w:val="21"/>
          <w:szCs w:val="21"/>
          <w:highlight w:val="none"/>
          <w:lang w:val="en-US" w:eastAsia="zh-CN"/>
        </w:rPr>
        <w:t>5.8.1</w:t>
      </w:r>
      <w:r>
        <w:rPr>
          <w:rFonts w:hint="eastAsia" w:ascii="黑体" w:hAnsi="黑体" w:eastAsia="黑体" w:cs="黑体"/>
          <w:bCs/>
          <w:color w:val="auto"/>
          <w:sz w:val="21"/>
          <w:szCs w:val="21"/>
          <w:highlight w:val="none"/>
        </w:rPr>
        <w:t>测点信号质量评定</w:t>
      </w:r>
    </w:p>
    <w:p>
      <w:pPr>
        <w:pStyle w:val="11"/>
        <w:ind w:firstLine="21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测试结果应根据激励信号和响应信号的相干函数进行取舍，根据</w:t>
      </w:r>
      <w:r>
        <w:rPr>
          <w:rFonts w:ascii="Times New Roman" w:hAnsi="Times New Roman" w:eastAsia="宋体" w:cs="Times New Roman"/>
          <w:color w:val="auto"/>
          <w:szCs w:val="21"/>
          <w:highlight w:val="none"/>
        </w:rPr>
        <w:t>GB/T 20140</w:t>
      </w:r>
      <w:r>
        <w:rPr>
          <w:rFonts w:ascii="Times New Roman" w:hAnsi="宋体" w:eastAsia="宋体" w:cs="Times New Roman"/>
          <w:color w:val="auto"/>
          <w:szCs w:val="21"/>
          <w:highlight w:val="none"/>
        </w:rPr>
        <w:t>相干函数计算如下所示：</w:t>
      </w:r>
    </w:p>
    <w:p>
      <w:pPr>
        <w:pStyle w:val="11"/>
        <w:tabs>
          <w:tab w:val="center" w:pos="4200"/>
          <w:tab w:val="center" w:leader="dot" w:pos="9030"/>
        </w:tabs>
        <w:ind w:firstLineChars="200"/>
        <w:jc w:val="right"/>
        <w:rPr>
          <w:rFonts w:ascii="宋体" w:hAnsi="宋体" w:cs="宋体"/>
          <w:i/>
          <w:iCs/>
          <w:color w:val="auto"/>
          <w:szCs w:val="21"/>
          <w:highlight w:val="none"/>
        </w:rPr>
      </w:pPr>
      <w:r>
        <w:rPr>
          <w:rFonts w:hint="eastAsia" w:ascii="宋体" w:hAnsi="宋体" w:eastAsia="宋体" w:cs="宋体"/>
          <w:iCs/>
          <w:color w:val="auto"/>
          <w:szCs w:val="21"/>
          <w:highlight w:val="none"/>
        </w:rPr>
        <w:tab/>
      </w:r>
      <m:oMath>
        <m:sSup>
          <m:sSupPr>
            <m:ctrlPr>
              <w:rPr>
                <w:rFonts w:hint="default" w:ascii="Cambria Math" w:hAnsi="Cambria Math" w:cs="宋体"/>
                <w:i/>
                <w:iCs/>
                <w:color w:val="auto"/>
                <w:szCs w:val="21"/>
                <w:highlight w:val="none"/>
              </w:rPr>
            </m:ctrlPr>
          </m:sSupPr>
          <m:e>
            <m:r>
              <m:rPr/>
              <w:rPr>
                <w:rFonts w:hint="default" w:ascii="Cambria Math" w:hAnsi="Cambria Math" w:cs="宋体"/>
                <w:color w:val="auto"/>
                <w:szCs w:val="21"/>
                <w:highlight w:val="none"/>
              </w:rPr>
              <m:t>γ</m:t>
            </m:r>
            <m:ctrlPr>
              <w:rPr>
                <w:rFonts w:hint="default" w:ascii="Cambria Math" w:hAnsi="Cambria Math" w:cs="宋体"/>
                <w:i/>
                <w:iCs/>
                <w:color w:val="auto"/>
                <w:szCs w:val="21"/>
                <w:highlight w:val="none"/>
              </w:rPr>
            </m:ctrlPr>
          </m:e>
          <m:sup>
            <m:r>
              <m:rPr/>
              <w:rPr>
                <w:rFonts w:hint="default" w:ascii="Cambria Math" w:hAnsi="Cambria Math" w:cs="宋体"/>
                <w:color w:val="auto"/>
                <w:szCs w:val="21"/>
                <w:highlight w:val="none"/>
              </w:rPr>
              <m:t>2</m:t>
            </m:r>
            <m:ctrlPr>
              <w:rPr>
                <w:rFonts w:hint="default" w:ascii="Cambria Math" w:hAnsi="Cambria Math" w:cs="宋体"/>
                <w:i/>
                <w:iCs/>
                <w:color w:val="auto"/>
                <w:szCs w:val="21"/>
                <w:highlight w:val="none"/>
              </w:rPr>
            </m:ctrlPr>
          </m:sup>
        </m:sSup>
        <m:d>
          <m:dPr>
            <m:ctrlPr>
              <w:rPr>
                <w:rFonts w:hint="default" w:ascii="Cambria Math" w:hAnsi="Cambria Math" w:cs="宋体"/>
                <w:i/>
                <w:iCs/>
                <w:color w:val="auto"/>
                <w:szCs w:val="21"/>
                <w:highlight w:val="none"/>
              </w:rPr>
            </m:ctrlPr>
          </m:dPr>
          <m:e>
            <m:r>
              <m:rPr/>
              <w:rPr>
                <w:rFonts w:hint="default" w:ascii="Cambria Math" w:hAnsi="Cambria Math" w:cs="宋体"/>
                <w:color w:val="auto"/>
                <w:szCs w:val="21"/>
                <w:highlight w:val="none"/>
              </w:rPr>
              <m:t>f</m:t>
            </m:r>
            <m:ctrlPr>
              <w:rPr>
                <w:rFonts w:hint="default" w:ascii="Cambria Math" w:hAnsi="Cambria Math" w:cs="宋体"/>
                <w:i/>
                <w:iCs/>
                <w:color w:val="auto"/>
                <w:szCs w:val="21"/>
                <w:highlight w:val="none"/>
              </w:rPr>
            </m:ctrlPr>
          </m:e>
        </m:d>
        <m:r>
          <m:rPr/>
          <w:rPr>
            <w:rFonts w:hint="default" w:ascii="Cambria Math" w:hAnsi="Cambria Math" w:cs="宋体"/>
            <w:color w:val="auto"/>
            <w:szCs w:val="21"/>
            <w:highlight w:val="none"/>
          </w:rPr>
          <m:t>=</m:t>
        </m:r>
        <m:f>
          <m:fPr>
            <m:ctrlPr>
              <w:rPr>
                <w:rFonts w:hint="default" w:ascii="Cambria Math" w:hAnsi="Cambria Math" w:cs="宋体"/>
                <w:i/>
                <w:iCs/>
                <w:color w:val="auto"/>
                <w:szCs w:val="21"/>
                <w:highlight w:val="none"/>
              </w:rPr>
            </m:ctrlPr>
          </m:fPr>
          <m:num>
            <m:sSup>
              <m:sSupPr>
                <m:ctrlPr>
                  <w:rPr>
                    <w:rFonts w:hint="default" w:ascii="Cambria Math" w:hAnsi="Cambria Math" w:cs="宋体"/>
                    <w:i/>
                    <w:iCs/>
                    <w:color w:val="auto"/>
                    <w:szCs w:val="21"/>
                    <w:highlight w:val="none"/>
                  </w:rPr>
                </m:ctrlPr>
              </m:sSupPr>
              <m:e>
                <m:d>
                  <m:dPr>
                    <m:begChr m:val="|"/>
                    <m:endChr m:val="|"/>
                    <m:ctrlPr>
                      <w:rPr>
                        <w:rFonts w:hint="default" w:ascii="Cambria Math" w:hAnsi="Cambria Math" w:cs="宋体"/>
                        <w:i/>
                        <w:iCs/>
                        <w:color w:val="auto"/>
                        <w:szCs w:val="21"/>
                        <w:highlight w:val="none"/>
                      </w:rPr>
                    </m:ctrlPr>
                  </m:dPr>
                  <m:e>
                    <m:sSub>
                      <m:sSubPr>
                        <m:ctrlPr>
                          <w:rPr>
                            <w:rFonts w:hint="default" w:ascii="Cambria Math" w:hAnsi="Cambria Math" w:cs="宋体"/>
                            <w:i/>
                            <w:iCs/>
                            <w:color w:val="auto"/>
                            <w:szCs w:val="21"/>
                            <w:highlight w:val="none"/>
                          </w:rPr>
                        </m:ctrlPr>
                      </m:sSubPr>
                      <m:e>
                        <m:r>
                          <m:rPr/>
                          <w:rPr>
                            <w:rFonts w:hint="default" w:ascii="Cambria Math" w:hAnsi="Cambria Math" w:cs="宋体"/>
                            <w:color w:val="auto"/>
                            <w:szCs w:val="21"/>
                            <w:highlight w:val="none"/>
                          </w:rPr>
                          <m:t>G</m:t>
                        </m:r>
                        <m:ctrlPr>
                          <w:rPr>
                            <w:rFonts w:hint="default" w:ascii="Cambria Math" w:hAnsi="Cambria Math" w:cs="宋体"/>
                            <w:i/>
                            <w:iCs/>
                            <w:color w:val="auto"/>
                            <w:szCs w:val="21"/>
                            <w:highlight w:val="none"/>
                          </w:rPr>
                        </m:ctrlPr>
                      </m:e>
                      <m:sub>
                        <m:r>
                          <m:rPr/>
                          <w:rPr>
                            <w:rFonts w:hint="default" w:ascii="Cambria Math" w:hAnsi="Cambria Math" w:cs="宋体"/>
                            <w:color w:val="auto"/>
                            <w:szCs w:val="21"/>
                            <w:highlight w:val="none"/>
                          </w:rPr>
                          <m:t>fx</m:t>
                        </m:r>
                        <m:ctrlPr>
                          <w:rPr>
                            <w:rFonts w:hint="default" w:ascii="Cambria Math" w:hAnsi="Cambria Math" w:cs="宋体"/>
                            <w:i/>
                            <w:iCs/>
                            <w:color w:val="auto"/>
                            <w:szCs w:val="21"/>
                            <w:highlight w:val="none"/>
                          </w:rPr>
                        </m:ctrlPr>
                      </m:sub>
                    </m:sSub>
                    <m:d>
                      <m:dPr>
                        <m:ctrlPr>
                          <w:rPr>
                            <w:rFonts w:hint="default" w:ascii="Cambria Math" w:hAnsi="Cambria Math" w:cs="宋体"/>
                            <w:i/>
                            <w:iCs/>
                            <w:color w:val="auto"/>
                            <w:szCs w:val="21"/>
                            <w:highlight w:val="none"/>
                          </w:rPr>
                        </m:ctrlPr>
                      </m:dPr>
                      <m:e>
                        <m:r>
                          <m:rPr/>
                          <w:rPr>
                            <w:rFonts w:hint="default" w:ascii="Cambria Math" w:hAnsi="Cambria Math" w:cs="宋体"/>
                            <w:color w:val="auto"/>
                            <w:szCs w:val="21"/>
                            <w:highlight w:val="none"/>
                          </w:rPr>
                          <m:t>f</m:t>
                        </m:r>
                        <m:ctrlPr>
                          <w:rPr>
                            <w:rFonts w:hint="default" w:ascii="Cambria Math" w:hAnsi="Cambria Math" w:cs="宋体"/>
                            <w:i/>
                            <w:iCs/>
                            <w:color w:val="auto"/>
                            <w:szCs w:val="21"/>
                            <w:highlight w:val="none"/>
                          </w:rPr>
                        </m:ctrlPr>
                      </m:e>
                    </m:d>
                    <m:ctrlPr>
                      <w:rPr>
                        <w:rFonts w:hint="default" w:ascii="Cambria Math" w:hAnsi="Cambria Math" w:cs="宋体"/>
                        <w:i/>
                        <w:iCs/>
                        <w:color w:val="auto"/>
                        <w:szCs w:val="21"/>
                        <w:highlight w:val="none"/>
                      </w:rPr>
                    </m:ctrlPr>
                  </m:e>
                </m:d>
                <m:ctrlPr>
                  <w:rPr>
                    <w:rFonts w:hint="default" w:ascii="Cambria Math" w:hAnsi="Cambria Math" w:cs="宋体"/>
                    <w:i/>
                    <w:iCs/>
                    <w:color w:val="auto"/>
                    <w:szCs w:val="21"/>
                    <w:highlight w:val="none"/>
                  </w:rPr>
                </m:ctrlPr>
              </m:e>
              <m:sup>
                <m:r>
                  <m:rPr/>
                  <w:rPr>
                    <w:rFonts w:hint="default" w:ascii="Cambria Math" w:hAnsi="Cambria Math" w:cs="宋体"/>
                    <w:color w:val="auto"/>
                    <w:szCs w:val="21"/>
                    <w:highlight w:val="none"/>
                  </w:rPr>
                  <m:t>2</m:t>
                </m:r>
                <m:ctrlPr>
                  <w:rPr>
                    <w:rFonts w:hint="default" w:ascii="Cambria Math" w:hAnsi="Cambria Math" w:cs="宋体"/>
                    <w:i/>
                    <w:iCs/>
                    <w:color w:val="auto"/>
                    <w:szCs w:val="21"/>
                    <w:highlight w:val="none"/>
                  </w:rPr>
                </m:ctrlPr>
              </m:sup>
            </m:sSup>
            <m:ctrlPr>
              <w:rPr>
                <w:rFonts w:hint="default" w:ascii="Cambria Math" w:hAnsi="Cambria Math" w:cs="宋体"/>
                <w:i/>
                <w:iCs/>
                <w:color w:val="auto"/>
                <w:szCs w:val="21"/>
                <w:highlight w:val="none"/>
              </w:rPr>
            </m:ctrlPr>
          </m:num>
          <m:den>
            <m:sSub>
              <m:sSubPr>
                <m:ctrlPr>
                  <w:rPr>
                    <w:rFonts w:hint="default" w:ascii="Cambria Math" w:hAnsi="Cambria Math" w:cs="宋体"/>
                    <w:i/>
                    <w:iCs/>
                    <w:color w:val="auto"/>
                    <w:szCs w:val="21"/>
                    <w:highlight w:val="none"/>
                  </w:rPr>
                </m:ctrlPr>
              </m:sSubPr>
              <m:e>
                <m:r>
                  <m:rPr/>
                  <w:rPr>
                    <w:rFonts w:hint="default" w:ascii="Cambria Math" w:hAnsi="Cambria Math" w:cs="宋体"/>
                    <w:color w:val="auto"/>
                    <w:szCs w:val="21"/>
                    <w:highlight w:val="none"/>
                  </w:rPr>
                  <m:t>G</m:t>
                </m:r>
                <m:ctrlPr>
                  <w:rPr>
                    <w:rFonts w:hint="default" w:ascii="Cambria Math" w:hAnsi="Cambria Math" w:cs="宋体"/>
                    <w:i/>
                    <w:iCs/>
                    <w:color w:val="auto"/>
                    <w:szCs w:val="21"/>
                    <w:highlight w:val="none"/>
                  </w:rPr>
                </m:ctrlPr>
              </m:e>
              <m:sub>
                <m:r>
                  <m:rPr/>
                  <w:rPr>
                    <w:rFonts w:hint="default" w:ascii="Cambria Math" w:hAnsi="Cambria Math" w:cs="宋体"/>
                    <w:color w:val="auto"/>
                    <w:szCs w:val="21"/>
                    <w:highlight w:val="none"/>
                  </w:rPr>
                  <m:t>f</m:t>
                </m:r>
                <m:ctrlPr>
                  <w:rPr>
                    <w:rFonts w:hint="default" w:ascii="Cambria Math" w:hAnsi="Cambria Math" w:cs="宋体"/>
                    <w:i/>
                    <w:iCs/>
                    <w:color w:val="auto"/>
                    <w:szCs w:val="21"/>
                    <w:highlight w:val="none"/>
                  </w:rPr>
                </m:ctrlPr>
              </m:sub>
            </m:sSub>
            <m:d>
              <m:dPr>
                <m:ctrlPr>
                  <w:rPr>
                    <w:rFonts w:hint="default" w:ascii="Cambria Math" w:hAnsi="Cambria Math" w:cs="宋体"/>
                    <w:i/>
                    <w:iCs/>
                    <w:color w:val="auto"/>
                    <w:szCs w:val="21"/>
                    <w:highlight w:val="none"/>
                  </w:rPr>
                </m:ctrlPr>
              </m:dPr>
              <m:e>
                <m:r>
                  <m:rPr/>
                  <w:rPr>
                    <w:rFonts w:hint="default" w:ascii="Cambria Math" w:hAnsi="Cambria Math" w:cs="宋体"/>
                    <w:color w:val="auto"/>
                    <w:szCs w:val="21"/>
                    <w:highlight w:val="none"/>
                  </w:rPr>
                  <m:t>f</m:t>
                </m:r>
                <m:ctrlPr>
                  <w:rPr>
                    <w:rFonts w:hint="default" w:ascii="Cambria Math" w:hAnsi="Cambria Math" w:cs="宋体"/>
                    <w:i/>
                    <w:iCs/>
                    <w:color w:val="auto"/>
                    <w:szCs w:val="21"/>
                    <w:highlight w:val="none"/>
                  </w:rPr>
                </m:ctrlPr>
              </m:e>
            </m:d>
            <m:r>
              <m:rPr/>
              <w:rPr>
                <w:rFonts w:hint="default" w:ascii="Cambria Math" w:hAnsi="Cambria Math" w:cs="宋体"/>
                <w:color w:val="auto"/>
                <w:szCs w:val="21"/>
                <w:highlight w:val="none"/>
              </w:rPr>
              <m:t>×</m:t>
            </m:r>
            <m:sSub>
              <m:sSubPr>
                <m:ctrlPr>
                  <w:rPr>
                    <w:rFonts w:hint="default" w:ascii="Cambria Math" w:hAnsi="Cambria Math" w:cs="宋体"/>
                    <w:i/>
                    <w:iCs/>
                    <w:color w:val="auto"/>
                    <w:szCs w:val="21"/>
                    <w:highlight w:val="none"/>
                  </w:rPr>
                </m:ctrlPr>
              </m:sSubPr>
              <m:e>
                <m:r>
                  <m:rPr/>
                  <w:rPr>
                    <w:rFonts w:hint="default" w:ascii="Cambria Math" w:hAnsi="Cambria Math" w:cs="宋体"/>
                    <w:color w:val="auto"/>
                    <w:szCs w:val="21"/>
                    <w:highlight w:val="none"/>
                  </w:rPr>
                  <m:t>G</m:t>
                </m:r>
                <m:ctrlPr>
                  <w:rPr>
                    <w:rFonts w:hint="default" w:ascii="Cambria Math" w:hAnsi="Cambria Math" w:cs="宋体"/>
                    <w:i/>
                    <w:iCs/>
                    <w:color w:val="auto"/>
                    <w:szCs w:val="21"/>
                    <w:highlight w:val="none"/>
                  </w:rPr>
                </m:ctrlPr>
              </m:e>
              <m:sub>
                <m:r>
                  <m:rPr/>
                  <w:rPr>
                    <w:rFonts w:hint="default" w:ascii="Cambria Math" w:hAnsi="Cambria Math" w:cs="宋体"/>
                    <w:color w:val="auto"/>
                    <w:szCs w:val="21"/>
                    <w:highlight w:val="none"/>
                  </w:rPr>
                  <m:t>x</m:t>
                </m:r>
                <m:ctrlPr>
                  <w:rPr>
                    <w:rFonts w:hint="default" w:ascii="Cambria Math" w:hAnsi="Cambria Math" w:cs="宋体"/>
                    <w:i/>
                    <w:iCs/>
                    <w:color w:val="auto"/>
                    <w:szCs w:val="21"/>
                    <w:highlight w:val="none"/>
                  </w:rPr>
                </m:ctrlPr>
              </m:sub>
            </m:sSub>
            <m:d>
              <m:dPr>
                <m:ctrlPr>
                  <w:rPr>
                    <w:rFonts w:hint="default" w:ascii="Cambria Math" w:hAnsi="Cambria Math" w:cs="宋体"/>
                    <w:i/>
                    <w:iCs/>
                    <w:color w:val="auto"/>
                    <w:szCs w:val="21"/>
                    <w:highlight w:val="none"/>
                  </w:rPr>
                </m:ctrlPr>
              </m:dPr>
              <m:e>
                <m:r>
                  <m:rPr/>
                  <w:rPr>
                    <w:rFonts w:hint="default" w:ascii="Cambria Math" w:hAnsi="Cambria Math" w:cs="宋体"/>
                    <w:color w:val="auto"/>
                    <w:szCs w:val="21"/>
                    <w:highlight w:val="none"/>
                  </w:rPr>
                  <m:t>f</m:t>
                </m:r>
                <m:ctrlPr>
                  <w:rPr>
                    <w:rFonts w:hint="default" w:ascii="Cambria Math" w:hAnsi="Cambria Math" w:cs="宋体"/>
                    <w:i/>
                    <w:iCs/>
                    <w:color w:val="auto"/>
                    <w:szCs w:val="21"/>
                    <w:highlight w:val="none"/>
                  </w:rPr>
                </m:ctrlPr>
              </m:e>
            </m:d>
            <m:ctrlPr>
              <w:rPr>
                <w:rFonts w:hint="default" w:ascii="Cambria Math" w:hAnsi="Cambria Math" w:cs="宋体"/>
                <w:i/>
                <w:iCs/>
                <w:color w:val="auto"/>
                <w:szCs w:val="21"/>
                <w:highlight w:val="none"/>
              </w:rPr>
            </m:ctrlPr>
          </m:den>
        </m:f>
      </m:oMath>
      <w:r>
        <w:rPr>
          <w:rFonts w:hint="eastAsia" w:hAnsi="Cambria Math" w:cs="宋体"/>
          <w:i w:val="0"/>
          <w:iCs/>
          <w:color w:val="auto"/>
          <w:szCs w:val="21"/>
          <w:highlight w:val="none"/>
          <w:lang w:val="en-US" w:eastAsia="zh-CN"/>
        </w:rPr>
        <w:t xml:space="preserve">                                     </w:t>
      </w:r>
      <w:r>
        <w:rPr>
          <w:rFonts w:ascii="Times New Roman" w:hAnsi="Times New Roman" w:cs="Times New Roman"/>
          <w:iCs/>
          <w:color w:val="auto"/>
          <w:szCs w:val="21"/>
          <w:highlight w:val="none"/>
        </w:rPr>
        <w:t>(1)</w:t>
      </w:r>
    </w:p>
    <w:p>
      <w:pPr>
        <w:pStyle w:val="11"/>
        <w:ind w:firstLine="21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式中：</w:t>
      </w:r>
    </w:p>
    <w:p>
      <w:pPr>
        <w:pStyle w:val="11"/>
        <w:spacing w:after="0"/>
        <w:ind w:firstLine="210" w:firstLineChars="0"/>
        <w:rPr>
          <w:rFonts w:ascii="宋体" w:hAnsi="宋体" w:eastAsia="宋体" w:cs="宋体"/>
          <w:color w:val="auto"/>
          <w:szCs w:val="21"/>
          <w:highlight w:val="none"/>
        </w:rPr>
      </w:pPr>
      <m:oMath>
        <m:sSup>
          <m:sSupPr>
            <m:ctrlPr>
              <w:rPr>
                <w:rFonts w:hint="eastAsia" w:ascii="Cambria Math" w:hAnsi="Cambria Math" w:eastAsia="宋体" w:cs="宋体"/>
                <w:color w:val="auto"/>
                <w:szCs w:val="21"/>
                <w:highlight w:val="none"/>
              </w:rPr>
            </m:ctrlPr>
          </m:sSupPr>
          <m:e>
            <m:r>
              <m:rPr>
                <m:sty m:val="p"/>
              </m:rPr>
              <w:rPr>
                <w:rFonts w:hint="eastAsia" w:ascii="Cambria Math" w:hAnsi="Cambria Math" w:eastAsia="宋体" w:cs="宋体"/>
                <w:color w:val="auto"/>
                <w:szCs w:val="21"/>
                <w:highlight w:val="none"/>
              </w:rPr>
              <m:t>γ</m:t>
            </m:r>
            <m:ctrlPr>
              <w:rPr>
                <w:rFonts w:hint="eastAsia" w:ascii="Cambria Math" w:hAnsi="Cambria Math" w:eastAsia="宋体" w:cs="宋体"/>
                <w:color w:val="auto"/>
                <w:szCs w:val="21"/>
                <w:highlight w:val="none"/>
              </w:rPr>
            </m:ctrlPr>
          </m:e>
          <m:sup>
            <m:r>
              <m:rPr>
                <m:sty m:val="p"/>
              </m:rPr>
              <w:rPr>
                <w:rFonts w:hint="eastAsia" w:ascii="Cambria Math" w:hAnsi="Cambria Math" w:eastAsia="宋体" w:cs="宋体"/>
                <w:color w:val="auto"/>
                <w:szCs w:val="21"/>
                <w:highlight w:val="none"/>
              </w:rPr>
              <m:t>2</m:t>
            </m:r>
            <m:ctrlPr>
              <w:rPr>
                <w:rFonts w:hint="eastAsia" w:ascii="Cambria Math" w:hAnsi="Cambria Math" w:eastAsia="宋体" w:cs="宋体"/>
                <w:color w:val="auto"/>
                <w:szCs w:val="21"/>
                <w:highlight w:val="none"/>
              </w:rPr>
            </m:ctrlPr>
          </m:sup>
        </m:sSup>
        <m:d>
          <m:dPr>
            <m:ctrlPr>
              <w:rPr>
                <w:rFonts w:hint="eastAsia" w:ascii="Cambria Math" w:hAnsi="Cambria Math" w:eastAsia="宋体" w:cs="宋体"/>
                <w:color w:val="auto"/>
                <w:szCs w:val="21"/>
                <w:highlight w:val="none"/>
              </w:rPr>
            </m:ctrlPr>
          </m:dPr>
          <m:e>
            <m:r>
              <m:rPr>
                <m:sty m:val="p"/>
              </m:rPr>
              <w:rPr>
                <w:rFonts w:hint="eastAsia" w:ascii="Cambria Math" w:hAnsi="Cambria Math" w:eastAsia="宋体" w:cs="宋体"/>
                <w:color w:val="auto"/>
                <w:szCs w:val="21"/>
                <w:highlight w:val="none"/>
              </w:rPr>
              <m:t>f</m:t>
            </m:r>
            <m:ctrlPr>
              <w:rPr>
                <w:rFonts w:hint="eastAsia" w:ascii="Cambria Math" w:hAnsi="Cambria Math" w:eastAsia="宋体" w:cs="宋体"/>
                <w:color w:val="auto"/>
                <w:szCs w:val="21"/>
                <w:highlight w:val="none"/>
              </w:rPr>
            </m:ctrlPr>
          </m:e>
        </m:d>
      </m:oMath>
      <w:r>
        <w:rPr>
          <w:rFonts w:hint="eastAsia" w:ascii="宋体" w:hAnsi="宋体" w:eastAsia="宋体" w:cs="宋体"/>
          <w:color w:val="auto"/>
          <w:szCs w:val="21"/>
          <w:highlight w:val="none"/>
        </w:rPr>
        <w:t>——相干函数；</w:t>
      </w:r>
    </w:p>
    <w:p>
      <w:pPr>
        <w:pStyle w:val="11"/>
        <w:spacing w:after="0"/>
        <w:ind w:firstLine="210" w:firstLineChars="0"/>
        <w:rPr>
          <w:rFonts w:ascii="宋体" w:hAnsi="宋体" w:eastAsia="宋体" w:cs="宋体"/>
          <w:color w:val="auto"/>
          <w:szCs w:val="21"/>
          <w:highlight w:val="none"/>
        </w:rPr>
      </w:pPr>
      <m:oMath>
        <m:sSub>
          <m:sSubPr>
            <m:ctrlPr>
              <w:rPr>
                <w:rFonts w:hint="eastAsia" w:ascii="Cambria Math" w:hAnsi="Cambria Math" w:eastAsia="宋体" w:cs="宋体"/>
                <w:color w:val="auto"/>
                <w:szCs w:val="21"/>
                <w:highlight w:val="none"/>
              </w:rPr>
            </m:ctrlPr>
          </m:sSubPr>
          <m:e>
            <m:r>
              <m:rPr>
                <m:sty m:val="p"/>
              </m:rPr>
              <w:rPr>
                <w:rFonts w:hint="eastAsia" w:ascii="Cambria Math" w:hAnsi="Cambria Math" w:eastAsia="宋体" w:cs="宋体"/>
                <w:color w:val="auto"/>
                <w:szCs w:val="21"/>
                <w:highlight w:val="none"/>
              </w:rPr>
              <m:t>G</m:t>
            </m:r>
            <m:ctrlPr>
              <w:rPr>
                <w:rFonts w:hint="eastAsia" w:ascii="Cambria Math" w:hAnsi="Cambria Math" w:eastAsia="宋体" w:cs="宋体"/>
                <w:color w:val="auto"/>
                <w:szCs w:val="21"/>
                <w:highlight w:val="none"/>
              </w:rPr>
            </m:ctrlPr>
          </m:e>
          <m:sub>
            <m:r>
              <m:rPr>
                <m:sty m:val="p"/>
              </m:rPr>
              <w:rPr>
                <w:rFonts w:hint="eastAsia" w:ascii="Cambria Math" w:hAnsi="Cambria Math" w:eastAsia="宋体" w:cs="宋体"/>
                <w:color w:val="auto"/>
                <w:szCs w:val="21"/>
                <w:highlight w:val="none"/>
              </w:rPr>
              <m:t>f</m:t>
            </m:r>
            <m:ctrlPr>
              <w:rPr>
                <w:rFonts w:hint="eastAsia" w:ascii="Cambria Math" w:hAnsi="Cambria Math" w:eastAsia="宋体" w:cs="宋体"/>
                <w:color w:val="auto"/>
                <w:szCs w:val="21"/>
                <w:highlight w:val="none"/>
              </w:rPr>
            </m:ctrlPr>
          </m:sub>
        </m:sSub>
        <m:d>
          <m:dPr>
            <m:ctrlPr>
              <w:rPr>
                <w:rFonts w:hint="eastAsia" w:ascii="Cambria Math" w:hAnsi="Cambria Math" w:eastAsia="宋体" w:cs="宋体"/>
                <w:color w:val="auto"/>
                <w:szCs w:val="21"/>
                <w:highlight w:val="none"/>
              </w:rPr>
            </m:ctrlPr>
          </m:dPr>
          <m:e>
            <m:r>
              <m:rPr>
                <m:sty m:val="p"/>
              </m:rPr>
              <w:rPr>
                <w:rFonts w:hint="eastAsia" w:ascii="Cambria Math" w:hAnsi="Cambria Math" w:eastAsia="宋体" w:cs="宋体"/>
                <w:color w:val="auto"/>
                <w:szCs w:val="21"/>
                <w:highlight w:val="none"/>
              </w:rPr>
              <m:t>f</m:t>
            </m:r>
            <m:ctrlPr>
              <w:rPr>
                <w:rFonts w:hint="eastAsia" w:ascii="Cambria Math" w:hAnsi="Cambria Math" w:eastAsia="宋体" w:cs="宋体"/>
                <w:color w:val="auto"/>
                <w:szCs w:val="21"/>
                <w:highlight w:val="none"/>
              </w:rPr>
            </m:ctrlPr>
          </m:e>
        </m:d>
      </m:oMath>
      <w:r>
        <w:rPr>
          <w:rFonts w:hint="eastAsia" w:ascii="宋体" w:hAnsi="宋体" w:eastAsia="宋体" w:cs="宋体"/>
          <w:color w:val="auto"/>
          <w:szCs w:val="21"/>
          <w:highlight w:val="none"/>
        </w:rPr>
        <w:t>——响应和激励信号的互功率谱；</w:t>
      </w:r>
    </w:p>
    <w:p>
      <w:pPr>
        <w:pStyle w:val="11"/>
        <w:spacing w:after="0"/>
        <w:ind w:firstLine="210" w:firstLineChars="0"/>
        <w:rPr>
          <w:rFonts w:ascii="宋体" w:hAnsi="宋体" w:eastAsia="宋体" w:cs="宋体"/>
          <w:color w:val="auto"/>
          <w:szCs w:val="21"/>
          <w:highlight w:val="none"/>
        </w:rPr>
      </w:pPr>
      <m:oMath>
        <m:sSub>
          <m:sSubPr>
            <m:ctrlPr>
              <w:rPr>
                <w:rFonts w:hint="eastAsia" w:ascii="Cambria Math" w:hAnsi="Cambria Math" w:eastAsia="宋体" w:cs="宋体"/>
                <w:color w:val="auto"/>
                <w:szCs w:val="21"/>
                <w:highlight w:val="none"/>
              </w:rPr>
            </m:ctrlPr>
          </m:sSubPr>
          <m:e>
            <m:r>
              <m:rPr>
                <m:sty m:val="p"/>
              </m:rPr>
              <w:rPr>
                <w:rFonts w:hint="eastAsia" w:ascii="Cambria Math" w:hAnsi="Cambria Math" w:eastAsia="宋体" w:cs="宋体"/>
                <w:color w:val="auto"/>
                <w:szCs w:val="21"/>
                <w:highlight w:val="none"/>
              </w:rPr>
              <m:t>G</m:t>
            </m:r>
            <m:ctrlPr>
              <w:rPr>
                <w:rFonts w:hint="eastAsia" w:ascii="Cambria Math" w:hAnsi="Cambria Math" w:eastAsia="宋体" w:cs="宋体"/>
                <w:color w:val="auto"/>
                <w:szCs w:val="21"/>
                <w:highlight w:val="none"/>
              </w:rPr>
            </m:ctrlPr>
          </m:e>
          <m:sub>
            <m:r>
              <m:rPr>
                <m:sty m:val="p"/>
              </m:rPr>
              <w:rPr>
                <w:rFonts w:hint="eastAsia" w:ascii="Cambria Math" w:hAnsi="Cambria Math" w:eastAsia="宋体" w:cs="宋体"/>
                <w:color w:val="auto"/>
                <w:szCs w:val="21"/>
                <w:highlight w:val="none"/>
              </w:rPr>
              <m:t>x</m:t>
            </m:r>
            <m:ctrlPr>
              <w:rPr>
                <w:rFonts w:hint="eastAsia" w:ascii="Cambria Math" w:hAnsi="Cambria Math" w:eastAsia="宋体" w:cs="宋体"/>
                <w:color w:val="auto"/>
                <w:szCs w:val="21"/>
                <w:highlight w:val="none"/>
              </w:rPr>
            </m:ctrlPr>
          </m:sub>
        </m:sSub>
        <m:d>
          <m:dPr>
            <m:ctrlPr>
              <w:rPr>
                <w:rFonts w:hint="eastAsia" w:ascii="Cambria Math" w:hAnsi="Cambria Math" w:eastAsia="宋体" w:cs="宋体"/>
                <w:color w:val="auto"/>
                <w:szCs w:val="21"/>
                <w:highlight w:val="none"/>
              </w:rPr>
            </m:ctrlPr>
          </m:dPr>
          <m:e>
            <m:r>
              <m:rPr>
                <m:sty m:val="p"/>
              </m:rPr>
              <w:rPr>
                <w:rFonts w:hint="eastAsia" w:ascii="Cambria Math" w:hAnsi="Cambria Math" w:eastAsia="宋体" w:cs="宋体"/>
                <w:color w:val="auto"/>
                <w:szCs w:val="21"/>
                <w:highlight w:val="none"/>
              </w:rPr>
              <m:t>f</m:t>
            </m:r>
            <m:ctrlPr>
              <w:rPr>
                <w:rFonts w:hint="eastAsia" w:ascii="Cambria Math" w:hAnsi="Cambria Math" w:eastAsia="宋体" w:cs="宋体"/>
                <w:color w:val="auto"/>
                <w:szCs w:val="21"/>
                <w:highlight w:val="none"/>
              </w:rPr>
            </m:ctrlPr>
          </m:e>
        </m:d>
      </m:oMath>
      <w:r>
        <w:rPr>
          <w:rFonts w:hint="eastAsia" w:ascii="宋体" w:hAnsi="宋体" w:eastAsia="宋体" w:cs="宋体"/>
          <w:color w:val="auto"/>
          <w:szCs w:val="21"/>
          <w:highlight w:val="none"/>
        </w:rPr>
        <w:t>——激励信号的自功率谱；</w:t>
      </w:r>
    </w:p>
    <w:p>
      <w:pPr>
        <w:pStyle w:val="11"/>
        <w:spacing w:after="0"/>
        <w:ind w:firstLine="210" w:firstLineChars="0"/>
        <w:rPr>
          <w:rFonts w:ascii="宋体" w:hAnsi="宋体" w:eastAsia="宋体" w:cs="宋体"/>
          <w:color w:val="auto"/>
          <w:szCs w:val="21"/>
          <w:highlight w:val="none"/>
        </w:rPr>
      </w:pPr>
      <m:oMath>
        <m:sSub>
          <m:sSubPr>
            <m:ctrlPr>
              <w:rPr>
                <w:rFonts w:hint="eastAsia" w:ascii="Cambria Math" w:hAnsi="Cambria Math" w:eastAsia="宋体" w:cs="宋体"/>
                <w:color w:val="auto"/>
                <w:szCs w:val="21"/>
                <w:highlight w:val="none"/>
              </w:rPr>
            </m:ctrlPr>
          </m:sSubPr>
          <m:e>
            <m:r>
              <m:rPr>
                <m:sty m:val="p"/>
              </m:rPr>
              <w:rPr>
                <w:rFonts w:hint="eastAsia" w:ascii="Cambria Math" w:hAnsi="Cambria Math" w:eastAsia="宋体" w:cs="宋体"/>
                <w:color w:val="auto"/>
                <w:szCs w:val="21"/>
                <w:highlight w:val="none"/>
              </w:rPr>
              <m:t>G</m:t>
            </m:r>
            <m:ctrlPr>
              <w:rPr>
                <w:rFonts w:hint="eastAsia" w:ascii="Cambria Math" w:hAnsi="Cambria Math" w:eastAsia="宋体" w:cs="宋体"/>
                <w:color w:val="auto"/>
                <w:szCs w:val="21"/>
                <w:highlight w:val="none"/>
              </w:rPr>
            </m:ctrlPr>
          </m:e>
          <m:sub>
            <m:r>
              <m:rPr>
                <m:sty m:val="p"/>
              </m:rPr>
              <w:rPr>
                <w:rFonts w:hint="eastAsia" w:ascii="Cambria Math" w:hAnsi="Cambria Math" w:eastAsia="宋体" w:cs="宋体"/>
                <w:color w:val="auto"/>
                <w:szCs w:val="21"/>
                <w:highlight w:val="none"/>
              </w:rPr>
              <m:t>fx</m:t>
            </m:r>
            <m:ctrlPr>
              <w:rPr>
                <w:rFonts w:hint="eastAsia" w:ascii="Cambria Math" w:hAnsi="Cambria Math" w:eastAsia="宋体" w:cs="宋体"/>
                <w:color w:val="auto"/>
                <w:szCs w:val="21"/>
                <w:highlight w:val="none"/>
              </w:rPr>
            </m:ctrlPr>
          </m:sub>
        </m:sSub>
        <m:d>
          <m:dPr>
            <m:ctrlPr>
              <w:rPr>
                <w:rFonts w:hint="eastAsia" w:ascii="Cambria Math" w:hAnsi="Cambria Math" w:eastAsia="宋体" w:cs="宋体"/>
                <w:color w:val="auto"/>
                <w:szCs w:val="21"/>
                <w:highlight w:val="none"/>
              </w:rPr>
            </m:ctrlPr>
          </m:dPr>
          <m:e>
            <m:r>
              <m:rPr>
                <m:sty m:val="p"/>
              </m:rPr>
              <w:rPr>
                <w:rFonts w:hint="eastAsia" w:ascii="Cambria Math" w:hAnsi="Cambria Math" w:eastAsia="宋体" w:cs="宋体"/>
                <w:color w:val="auto"/>
                <w:szCs w:val="21"/>
                <w:highlight w:val="none"/>
              </w:rPr>
              <m:t>f</m:t>
            </m:r>
            <m:ctrlPr>
              <w:rPr>
                <w:rFonts w:hint="eastAsia" w:ascii="Cambria Math" w:hAnsi="Cambria Math" w:eastAsia="宋体" w:cs="宋体"/>
                <w:color w:val="auto"/>
                <w:szCs w:val="21"/>
                <w:highlight w:val="none"/>
              </w:rPr>
            </m:ctrlPr>
          </m:e>
        </m:d>
      </m:oMath>
      <w:r>
        <w:rPr>
          <w:rFonts w:hint="eastAsia" w:ascii="宋体" w:hAnsi="宋体" w:eastAsia="宋体" w:cs="宋体"/>
          <w:color w:val="auto"/>
          <w:szCs w:val="21"/>
          <w:highlight w:val="none"/>
        </w:rPr>
        <w:t>——响应信号的自功率谱；</w:t>
      </w:r>
    </w:p>
    <w:p>
      <w:pPr>
        <w:pStyle w:val="11"/>
        <w:spacing w:after="0"/>
        <w:ind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相干函数的值总是在0至1之间。当它接近1时，说明f(x)和x(t)间有良好的因果关系；当它明显小于1时，说明信号受到干扰噪声的“污染”，或者系统具有非线性特性。</w:t>
      </w:r>
    </w:p>
    <w:p>
      <w:pPr>
        <w:pStyle w:val="11"/>
        <w:spacing w:after="0"/>
        <w:ind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通常频响函数幅频曲线的峰值或其虚频曲线的极值（在</w:t>
      </w:r>
      <m:oMath>
        <m:sSup>
          <m:sSupPr>
            <m:ctrlPr>
              <w:rPr>
                <w:rFonts w:hint="eastAsia" w:ascii="Cambria Math" w:hAnsi="Cambria Math" w:eastAsia="宋体" w:cs="宋体"/>
                <w:color w:val="auto"/>
                <w:szCs w:val="21"/>
                <w:highlight w:val="none"/>
              </w:rPr>
            </m:ctrlPr>
          </m:sSupPr>
          <m:e>
            <m:r>
              <m:rPr>
                <m:sty m:val="p"/>
              </m:rPr>
              <w:rPr>
                <w:rFonts w:hint="eastAsia" w:ascii="Cambria Math" w:hAnsi="Cambria Math" w:eastAsia="宋体" w:cs="宋体"/>
                <w:color w:val="auto"/>
                <w:szCs w:val="21"/>
                <w:highlight w:val="none"/>
              </w:rPr>
              <m:t>γ</m:t>
            </m:r>
            <m:ctrlPr>
              <w:rPr>
                <w:rFonts w:hint="eastAsia" w:ascii="Cambria Math" w:hAnsi="Cambria Math" w:eastAsia="宋体" w:cs="宋体"/>
                <w:color w:val="auto"/>
                <w:szCs w:val="21"/>
                <w:highlight w:val="none"/>
              </w:rPr>
            </m:ctrlPr>
          </m:e>
          <m:sup>
            <m:r>
              <m:rPr>
                <m:sty m:val="p"/>
              </m:rPr>
              <w:rPr>
                <w:rFonts w:hint="eastAsia" w:ascii="Cambria Math" w:hAnsi="Cambria Math" w:eastAsia="宋体" w:cs="宋体"/>
                <w:color w:val="auto"/>
                <w:szCs w:val="21"/>
                <w:highlight w:val="none"/>
              </w:rPr>
              <m:t>2</m:t>
            </m:r>
            <m:ctrlPr>
              <w:rPr>
                <w:rFonts w:hint="eastAsia" w:ascii="Cambria Math" w:hAnsi="Cambria Math" w:eastAsia="宋体" w:cs="宋体"/>
                <w:color w:val="auto"/>
                <w:szCs w:val="21"/>
                <w:highlight w:val="none"/>
              </w:rPr>
            </m:ctrlPr>
          </m:sup>
        </m:sSup>
        <m:d>
          <m:dPr>
            <m:ctrlPr>
              <w:rPr>
                <w:rFonts w:hint="eastAsia" w:ascii="Cambria Math" w:hAnsi="Cambria Math" w:eastAsia="宋体" w:cs="宋体"/>
                <w:color w:val="auto"/>
                <w:szCs w:val="21"/>
                <w:highlight w:val="none"/>
              </w:rPr>
            </m:ctrlPr>
          </m:dPr>
          <m:e>
            <m:r>
              <m:rPr>
                <m:sty m:val="p"/>
              </m:rPr>
              <w:rPr>
                <w:rFonts w:hint="eastAsia" w:ascii="Cambria Math" w:hAnsi="Cambria Math" w:eastAsia="宋体" w:cs="宋体"/>
                <w:color w:val="auto"/>
                <w:szCs w:val="21"/>
                <w:highlight w:val="none"/>
              </w:rPr>
              <m:t>f</m:t>
            </m:r>
            <m:ctrlPr>
              <w:rPr>
                <w:rFonts w:hint="eastAsia" w:ascii="Cambria Math" w:hAnsi="Cambria Math" w:eastAsia="宋体" w:cs="宋体"/>
                <w:color w:val="auto"/>
                <w:szCs w:val="21"/>
                <w:highlight w:val="none"/>
              </w:rPr>
            </m:ctrlPr>
          </m:e>
        </m:d>
      </m:oMath>
      <w:r>
        <w:rPr>
          <w:rFonts w:hint="eastAsia" w:hAnsi="Cambria Math" w:cs="宋体"/>
          <w:i w:val="0"/>
          <w:color w:val="auto"/>
          <w:szCs w:val="21"/>
          <w:highlight w:val="none"/>
          <w:lang w:val="en-US" w:eastAsia="zh-CN"/>
        </w:rPr>
        <w:t>接近1时</w:t>
      </w:r>
      <w:r>
        <w:rPr>
          <w:rFonts w:hint="eastAsia" w:ascii="宋体" w:hAnsi="宋体" w:cs="宋体"/>
          <w:color w:val="auto"/>
          <w:szCs w:val="21"/>
          <w:highlight w:val="none"/>
          <w:lang w:val="en-US" w:eastAsia="zh-CN"/>
        </w:rPr>
        <w:t>）就是系统的固有频率。</w:t>
      </w:r>
    </w:p>
    <w:p>
      <w:pPr>
        <w:pStyle w:val="11"/>
        <w:spacing w:after="0"/>
        <w:ind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判定系统的固有频率应结合频响函数幅频曲线、相频曲线、实部和虚部曲线以及相干函数曲线综合确定。</w:t>
      </w:r>
    </w:p>
    <w:p>
      <w:pPr>
        <w:pStyle w:val="19"/>
        <w:keepNext w:val="0"/>
        <w:keepLines w:val="0"/>
        <w:pageBreakBefore w:val="0"/>
        <w:widowControl w:val="0"/>
        <w:numPr>
          <w:ilvl w:val="-1"/>
          <w:numId w:val="0"/>
        </w:numPr>
        <w:kinsoku/>
        <w:wordWrap/>
        <w:overflowPunct/>
        <w:topLinePunct w:val="0"/>
        <w:autoSpaceDE/>
        <w:autoSpaceDN/>
        <w:bidi w:val="0"/>
        <w:adjustRightInd/>
        <w:snapToGrid/>
        <w:spacing w:before="156" w:beforeLines="50" w:after="156" w:afterLines="50" w:line="240" w:lineRule="auto"/>
        <w:ind w:left="0" w:leftChars="0" w:firstLine="0" w:firstLineChars="0"/>
        <w:jc w:val="left"/>
        <w:textAlignment w:val="auto"/>
        <w:rPr>
          <w:rFonts w:hint="eastAsia" w:ascii="黑体" w:hAnsi="黑体" w:eastAsia="黑体" w:cs="黑体"/>
          <w:bCs/>
          <w:color w:val="auto"/>
          <w:sz w:val="21"/>
          <w:szCs w:val="21"/>
          <w:highlight w:val="none"/>
        </w:rPr>
      </w:pPr>
      <w:r>
        <w:rPr>
          <w:rFonts w:hint="eastAsia" w:ascii="黑体" w:hAnsi="黑体" w:eastAsia="黑体" w:cs="黑体"/>
          <w:bCs/>
          <w:color w:val="auto"/>
          <w:sz w:val="21"/>
          <w:szCs w:val="21"/>
          <w:highlight w:val="none"/>
          <w:lang w:val="en-US" w:eastAsia="zh-CN"/>
        </w:rPr>
        <w:t>5.8.2</w:t>
      </w:r>
      <w:r>
        <w:rPr>
          <w:rFonts w:hint="eastAsia" w:ascii="黑体" w:hAnsi="黑体" w:eastAsia="黑体" w:cs="黑体"/>
          <w:bCs/>
          <w:color w:val="auto"/>
          <w:sz w:val="21"/>
          <w:szCs w:val="21"/>
          <w:highlight w:val="none"/>
        </w:rPr>
        <w:t>测试结果</w:t>
      </w:r>
    </w:p>
    <w:p>
      <w:pPr>
        <w:pStyle w:val="11"/>
        <w:spacing w:after="0"/>
        <w:ind w:firstLine="21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通过模态测试，得到以下测试结果：</w:t>
      </w:r>
    </w:p>
    <w:p>
      <w:pPr>
        <w:pStyle w:val="11"/>
        <w:numPr>
          <w:ilvl w:val="0"/>
          <w:numId w:val="8"/>
        </w:numPr>
        <w:spacing w:after="0"/>
        <w:ind w:left="1276" w:hanging="425"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水轮发电机</w:t>
      </w:r>
      <w:r>
        <w:rPr>
          <w:rFonts w:hint="eastAsia" w:ascii="宋体" w:hAnsi="宋体" w:cs="宋体"/>
          <w:color w:val="auto"/>
          <w:szCs w:val="21"/>
          <w:highlight w:val="none"/>
          <w:lang w:eastAsia="zh-CN"/>
        </w:rPr>
        <w:t>非承重</w:t>
      </w:r>
      <w:r>
        <w:rPr>
          <w:rFonts w:hint="eastAsia" w:ascii="宋体" w:hAnsi="宋体" w:eastAsia="宋体" w:cs="宋体"/>
          <w:color w:val="auto"/>
          <w:szCs w:val="21"/>
          <w:highlight w:val="none"/>
        </w:rPr>
        <w:t>机架的固有频率</w:t>
      </w:r>
      <w:r>
        <w:rPr>
          <w:rFonts w:hint="eastAsia" w:ascii="宋体" w:hAnsi="宋体" w:cs="宋体"/>
          <w:color w:val="auto"/>
          <w:szCs w:val="21"/>
          <w:highlight w:val="none"/>
          <w:lang w:eastAsia="zh-CN"/>
        </w:rPr>
        <w:t>。</w:t>
      </w:r>
    </w:p>
    <w:p>
      <w:pPr>
        <w:pStyle w:val="11"/>
        <w:numPr>
          <w:ilvl w:val="0"/>
          <w:numId w:val="8"/>
        </w:numPr>
        <w:spacing w:after="0"/>
        <w:ind w:left="1276" w:hanging="425"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水轮发电机</w:t>
      </w:r>
      <w:r>
        <w:rPr>
          <w:rFonts w:hint="eastAsia" w:ascii="宋体" w:hAnsi="宋体" w:cs="宋体"/>
          <w:color w:val="auto"/>
          <w:szCs w:val="21"/>
          <w:highlight w:val="none"/>
          <w:lang w:eastAsia="zh-CN"/>
        </w:rPr>
        <w:t>非承重</w:t>
      </w:r>
      <w:r>
        <w:rPr>
          <w:rFonts w:hint="eastAsia" w:ascii="宋体" w:hAnsi="宋体" w:eastAsia="宋体" w:cs="宋体"/>
          <w:color w:val="auto"/>
          <w:szCs w:val="21"/>
          <w:highlight w:val="none"/>
        </w:rPr>
        <w:t>机架的阻尼比</w:t>
      </w:r>
      <w:r>
        <w:rPr>
          <w:rFonts w:hint="eastAsia" w:ascii="宋体" w:hAnsi="宋体" w:cs="宋体"/>
          <w:color w:val="auto"/>
          <w:szCs w:val="21"/>
          <w:highlight w:val="none"/>
          <w:lang w:eastAsia="zh-CN"/>
        </w:rPr>
        <w:t>。</w:t>
      </w:r>
    </w:p>
    <w:p>
      <w:pPr>
        <w:pStyle w:val="11"/>
        <w:numPr>
          <w:ilvl w:val="0"/>
          <w:numId w:val="8"/>
        </w:numPr>
        <w:spacing w:after="0"/>
        <w:ind w:left="1276" w:hanging="425"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水轮发电机</w:t>
      </w:r>
      <w:r>
        <w:rPr>
          <w:rFonts w:hint="eastAsia" w:ascii="宋体" w:hAnsi="宋体" w:cs="宋体"/>
          <w:color w:val="auto"/>
          <w:szCs w:val="21"/>
          <w:highlight w:val="none"/>
          <w:lang w:eastAsia="zh-CN"/>
        </w:rPr>
        <w:t>非承重</w:t>
      </w:r>
      <w:r>
        <w:rPr>
          <w:rFonts w:hint="eastAsia" w:ascii="宋体" w:hAnsi="宋体" w:eastAsia="宋体" w:cs="宋体"/>
          <w:color w:val="auto"/>
          <w:szCs w:val="21"/>
          <w:highlight w:val="none"/>
        </w:rPr>
        <w:t>机架的模态振型。</w:t>
      </w:r>
    </w:p>
    <w:p>
      <w:pPr>
        <w:pStyle w:val="11"/>
        <w:numPr>
          <w:ilvl w:val="0"/>
          <w:numId w:val="8"/>
        </w:numPr>
        <w:spacing w:after="0"/>
        <w:ind w:left="1276" w:hanging="425"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水轮发电机</w:t>
      </w:r>
      <w:r>
        <w:rPr>
          <w:rFonts w:hint="eastAsia" w:ascii="宋体" w:hAnsi="宋体" w:cs="宋体"/>
          <w:color w:val="auto"/>
          <w:szCs w:val="21"/>
          <w:highlight w:val="none"/>
          <w:lang w:eastAsia="zh-CN"/>
        </w:rPr>
        <w:t>非承重</w:t>
      </w:r>
      <w:r>
        <w:rPr>
          <w:rFonts w:hint="eastAsia" w:ascii="宋体" w:hAnsi="宋体" w:eastAsia="宋体" w:cs="宋体"/>
          <w:color w:val="auto"/>
          <w:szCs w:val="21"/>
          <w:highlight w:val="none"/>
        </w:rPr>
        <w:t>机架的模态</w:t>
      </w:r>
      <w:r>
        <w:rPr>
          <w:rFonts w:hint="eastAsia" w:ascii="宋体" w:hAnsi="宋体" w:cs="宋体"/>
          <w:color w:val="auto"/>
          <w:szCs w:val="21"/>
          <w:highlight w:val="none"/>
          <w:lang w:val="en-US" w:eastAsia="zh-CN"/>
        </w:rPr>
        <w:t>刚度</w:t>
      </w:r>
      <w:r>
        <w:rPr>
          <w:rFonts w:hint="eastAsia" w:ascii="宋体" w:hAnsi="宋体" w:eastAsia="宋体" w:cs="宋体"/>
          <w:color w:val="auto"/>
          <w:szCs w:val="21"/>
          <w:highlight w:val="none"/>
        </w:rPr>
        <w:t>。</w:t>
      </w:r>
    </w:p>
    <w:p>
      <w:pPr>
        <w:pStyle w:val="11"/>
        <w:numPr>
          <w:ilvl w:val="-1"/>
          <w:numId w:val="0"/>
        </w:numPr>
        <w:spacing w:after="0"/>
        <w:ind w:left="851" w:firstLine="0" w:firstLineChars="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具体实例参照附录C</w:t>
      </w:r>
    </w:p>
    <w:p>
      <w:pPr>
        <w:pStyle w:val="18"/>
        <w:keepNext/>
        <w:keepLines w:val="0"/>
        <w:pageBreakBefore w:val="0"/>
        <w:widowControl w:val="0"/>
        <w:numPr>
          <w:ilvl w:val="0"/>
          <w:numId w:val="1"/>
        </w:numPr>
        <w:kinsoku/>
        <w:wordWrap/>
        <w:overflowPunct/>
        <w:topLinePunct w:val="0"/>
        <w:autoSpaceDE/>
        <w:autoSpaceDN/>
        <w:bidi w:val="0"/>
        <w:adjustRightInd/>
        <w:snapToGrid/>
        <w:spacing w:beforeLines="100" w:afterLines="100" w:line="240" w:lineRule="auto"/>
        <w:ind w:left="0" w:firstLine="0"/>
        <w:jc w:val="left"/>
        <w:textAlignment w:val="auto"/>
        <w:outlineLvl w:val="1"/>
        <w:rPr>
          <w:rFonts w:ascii="黑体" w:hAnsi="黑体" w:eastAsia="黑体" w:cs="黑体"/>
          <w:bCs/>
          <w:color w:val="auto"/>
          <w:sz w:val="21"/>
          <w:szCs w:val="21"/>
          <w:highlight w:val="none"/>
        </w:rPr>
      </w:pPr>
      <w:bookmarkStart w:id="87" w:name="_Toc32179"/>
      <w:bookmarkStart w:id="88" w:name="_Toc22524"/>
      <w:bookmarkStart w:id="89" w:name="_Toc29764"/>
      <w:bookmarkStart w:id="90" w:name="_Toc9527"/>
      <w:bookmarkStart w:id="91" w:name="_Toc616"/>
      <w:bookmarkStart w:id="92" w:name="_Toc21971"/>
      <w:r>
        <w:rPr>
          <w:rFonts w:hint="eastAsia" w:ascii="黑体" w:hAnsi="黑体" w:eastAsia="黑体" w:cs="黑体"/>
          <w:bCs/>
          <w:color w:val="auto"/>
          <w:sz w:val="21"/>
          <w:szCs w:val="21"/>
          <w:highlight w:val="none"/>
        </w:rPr>
        <w:t xml:space="preserve"> </w:t>
      </w:r>
      <w:bookmarkStart w:id="93" w:name="_Toc28122"/>
      <w:r>
        <w:rPr>
          <w:rFonts w:hint="eastAsia" w:ascii="黑体" w:hAnsi="黑体" w:eastAsia="黑体" w:cs="黑体"/>
          <w:bCs/>
          <w:color w:val="auto"/>
          <w:sz w:val="21"/>
          <w:szCs w:val="21"/>
          <w:highlight w:val="none"/>
        </w:rPr>
        <w:t>测量仪器</w:t>
      </w:r>
      <w:bookmarkEnd w:id="87"/>
      <w:bookmarkEnd w:id="88"/>
      <w:bookmarkEnd w:id="89"/>
      <w:bookmarkEnd w:id="90"/>
      <w:bookmarkEnd w:id="91"/>
      <w:r>
        <w:rPr>
          <w:rFonts w:hint="eastAsia" w:ascii="黑体" w:hAnsi="黑体" w:eastAsia="黑体" w:cs="黑体"/>
          <w:bCs/>
          <w:color w:val="auto"/>
          <w:sz w:val="21"/>
          <w:szCs w:val="21"/>
          <w:highlight w:val="none"/>
        </w:rPr>
        <w:t>及</w:t>
      </w:r>
      <w:r>
        <w:rPr>
          <w:rFonts w:hint="eastAsia" w:ascii="黑体" w:hAnsi="黑体" w:eastAsia="黑体" w:cs="黑体"/>
          <w:bCs/>
          <w:color w:val="auto"/>
          <w:sz w:val="21"/>
          <w:szCs w:val="21"/>
          <w:highlight w:val="none"/>
          <w:lang w:val="en-US" w:eastAsia="zh-CN"/>
        </w:rPr>
        <w:t>分析</w:t>
      </w:r>
      <w:r>
        <w:rPr>
          <w:rFonts w:hint="eastAsia" w:ascii="黑体" w:hAnsi="黑体" w:eastAsia="黑体" w:cs="黑体"/>
          <w:bCs/>
          <w:color w:val="auto"/>
          <w:sz w:val="21"/>
          <w:szCs w:val="21"/>
          <w:highlight w:val="none"/>
        </w:rPr>
        <w:t>软件</w:t>
      </w:r>
      <w:bookmarkEnd w:id="92"/>
      <w:bookmarkEnd w:id="93"/>
    </w:p>
    <w:p>
      <w:pPr>
        <w:pStyle w:val="19"/>
        <w:numPr>
          <w:ilvl w:val="0"/>
          <w:numId w:val="9"/>
        </w:numPr>
        <w:spacing w:beforeLines="50" w:afterLines="50"/>
        <w:ind w:left="0" w:firstLine="0"/>
        <w:jc w:val="left"/>
        <w:outlineLvl w:val="2"/>
        <w:rPr>
          <w:rFonts w:ascii="黑体" w:hAnsi="黑体" w:eastAsia="黑体" w:cs="黑体"/>
          <w:bCs/>
          <w:color w:val="auto"/>
          <w:sz w:val="21"/>
          <w:szCs w:val="21"/>
          <w:highlight w:val="none"/>
        </w:rPr>
      </w:pPr>
      <w:bookmarkStart w:id="94" w:name="_Toc28924"/>
      <w:bookmarkStart w:id="95" w:name="_Toc27449"/>
      <w:bookmarkStart w:id="96" w:name="_Toc2222"/>
      <w:bookmarkStart w:id="97" w:name="_Toc8349"/>
      <w:bookmarkStart w:id="98" w:name="_Toc9955"/>
      <w:bookmarkStart w:id="99" w:name="_Toc24566"/>
      <w:r>
        <w:rPr>
          <w:rFonts w:hint="eastAsia" w:ascii="黑体" w:hAnsi="黑体" w:eastAsia="黑体" w:cs="黑体"/>
          <w:bCs/>
          <w:color w:val="auto"/>
          <w:sz w:val="21"/>
          <w:szCs w:val="21"/>
          <w:highlight w:val="none"/>
        </w:rPr>
        <w:t>冲击激励</w:t>
      </w:r>
      <w:bookmarkEnd w:id="94"/>
      <w:bookmarkEnd w:id="95"/>
      <w:bookmarkEnd w:id="96"/>
      <w:bookmarkEnd w:id="97"/>
      <w:bookmarkEnd w:id="98"/>
      <w:bookmarkEnd w:id="99"/>
    </w:p>
    <w:p>
      <w:pPr>
        <w:pStyle w:val="11"/>
        <w:ind w:firstLine="21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冲击激励一般要求如下：</w:t>
      </w:r>
    </w:p>
    <w:p>
      <w:pPr>
        <w:pStyle w:val="11"/>
        <w:keepNext w:val="0"/>
        <w:keepLines w:val="0"/>
        <w:pageBreakBefore w:val="0"/>
        <w:widowControl w:val="0"/>
        <w:numPr>
          <w:ilvl w:val="0"/>
          <w:numId w:val="10"/>
        </w:numPr>
        <w:kinsoku/>
        <w:wordWrap/>
        <w:overflowPunct/>
        <w:topLinePunct w:val="0"/>
        <w:autoSpaceDE/>
        <w:autoSpaceDN/>
        <w:bidi w:val="0"/>
        <w:adjustRightInd/>
        <w:snapToGrid/>
        <w:spacing w:after="0"/>
        <w:ind w:left="0" w:firstLine="420" w:firstLineChars="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根据</w:t>
      </w:r>
      <w:r>
        <w:rPr>
          <w:rFonts w:hint="eastAsia" w:ascii="宋体" w:hAnsi="宋体" w:cs="宋体"/>
          <w:color w:val="auto"/>
          <w:szCs w:val="21"/>
          <w:highlight w:val="none"/>
          <w:lang w:val="en-US" w:eastAsia="zh-CN"/>
        </w:rPr>
        <w:t>预试验结果确定力</w:t>
      </w:r>
      <w:r>
        <w:rPr>
          <w:rFonts w:hint="eastAsia" w:ascii="宋体" w:hAnsi="宋体" w:eastAsia="宋体" w:cs="宋体"/>
          <w:color w:val="auto"/>
          <w:szCs w:val="21"/>
          <w:highlight w:val="none"/>
        </w:rPr>
        <w:t>锤</w:t>
      </w:r>
      <w:r>
        <w:rPr>
          <w:rFonts w:hint="eastAsia" w:ascii="宋体" w:hAnsi="宋体" w:cs="宋体"/>
          <w:color w:val="auto"/>
          <w:szCs w:val="21"/>
          <w:highlight w:val="none"/>
          <w:lang w:val="en-US" w:eastAsia="zh-CN"/>
        </w:rPr>
        <w:t>和激振力</w:t>
      </w:r>
      <w:r>
        <w:rPr>
          <w:rFonts w:hint="eastAsia" w:ascii="宋体" w:hAnsi="宋体" w:cs="宋体"/>
          <w:color w:val="auto"/>
          <w:szCs w:val="21"/>
          <w:highlight w:val="none"/>
          <w:lang w:eastAsia="zh-CN"/>
        </w:rPr>
        <w:t>。</w:t>
      </w:r>
      <w:r>
        <w:rPr>
          <w:rFonts w:hint="eastAsia" w:ascii="宋体" w:hAnsi="宋体" w:cs="宋体"/>
          <w:color w:val="auto"/>
          <w:szCs w:val="21"/>
          <w:highlight w:val="none"/>
        </w:rPr>
        <w:t>可根据试验对象进行试敲，力锤激励力能激励起</w:t>
      </w:r>
      <w:r>
        <w:rPr>
          <w:rFonts w:hint="eastAsia" w:ascii="宋体" w:hAnsi="宋体" w:cs="宋体"/>
          <w:color w:val="auto"/>
          <w:szCs w:val="21"/>
          <w:highlight w:val="none"/>
          <w:lang w:eastAsia="zh-CN"/>
        </w:rPr>
        <w:t>非承重</w:t>
      </w:r>
      <w:r>
        <w:rPr>
          <w:rFonts w:hint="eastAsia" w:ascii="宋体" w:hAnsi="宋体" w:cs="宋体"/>
          <w:color w:val="auto"/>
          <w:szCs w:val="21"/>
          <w:highlight w:val="none"/>
        </w:rPr>
        <w:t>机架200Hz以下振动模态且与冲击激励一般要求不冲突即可。</w:t>
      </w:r>
      <w:r>
        <w:rPr>
          <w:rFonts w:hint="eastAsia"/>
          <w:highlight w:val="none"/>
        </w:rPr>
        <w:t>有特殊要求的情况下，可考虑采用激振器进行激励。</w:t>
      </w:r>
    </w:p>
    <w:p>
      <w:pPr>
        <w:pStyle w:val="11"/>
        <w:keepNext w:val="0"/>
        <w:keepLines w:val="0"/>
        <w:pageBreakBefore w:val="0"/>
        <w:widowControl w:val="0"/>
        <w:numPr>
          <w:ilvl w:val="0"/>
          <w:numId w:val="10"/>
        </w:numPr>
        <w:kinsoku/>
        <w:wordWrap/>
        <w:overflowPunct/>
        <w:topLinePunct w:val="0"/>
        <w:autoSpaceDE/>
        <w:autoSpaceDN/>
        <w:bidi w:val="0"/>
        <w:adjustRightInd/>
        <w:snapToGrid/>
        <w:spacing w:after="0"/>
        <w:ind w:left="0" w:firstLine="420" w:firstLineChars="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激励频率选择在力谱平直范围内，可通过更换锤头材料和配重改变力脉冲宽度和频率范围</w:t>
      </w:r>
      <w:r>
        <w:rPr>
          <w:rFonts w:hint="eastAsia" w:ascii="宋体" w:hAnsi="宋体" w:cs="宋体"/>
          <w:color w:val="auto"/>
          <w:szCs w:val="21"/>
          <w:highlight w:val="none"/>
          <w:lang w:eastAsia="zh-CN"/>
        </w:rPr>
        <w:t>。</w:t>
      </w:r>
    </w:p>
    <w:p>
      <w:pPr>
        <w:pStyle w:val="11"/>
        <w:keepNext w:val="0"/>
        <w:keepLines w:val="0"/>
        <w:pageBreakBefore w:val="0"/>
        <w:widowControl w:val="0"/>
        <w:numPr>
          <w:ilvl w:val="0"/>
          <w:numId w:val="10"/>
        </w:numPr>
        <w:kinsoku/>
        <w:wordWrap/>
        <w:overflowPunct/>
        <w:topLinePunct w:val="0"/>
        <w:autoSpaceDE/>
        <w:autoSpaceDN/>
        <w:bidi w:val="0"/>
        <w:adjustRightInd/>
        <w:snapToGrid/>
        <w:spacing w:after="0"/>
        <w:ind w:left="0" w:firstLine="420" w:firstLineChars="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激振力的大小应保证能够激振起</w:t>
      </w:r>
      <w:r>
        <w:rPr>
          <w:rFonts w:hint="eastAsia" w:ascii="宋体" w:hAnsi="宋体" w:cs="宋体"/>
          <w:color w:val="auto"/>
          <w:szCs w:val="21"/>
          <w:highlight w:val="none"/>
          <w:lang w:val="en-US" w:eastAsia="zh-CN"/>
        </w:rPr>
        <w:t>特征</w:t>
      </w:r>
      <w:r>
        <w:rPr>
          <w:rFonts w:hint="eastAsia" w:ascii="宋体" w:hAnsi="宋体" w:eastAsia="宋体" w:cs="宋体"/>
          <w:color w:val="auto"/>
          <w:szCs w:val="21"/>
          <w:highlight w:val="none"/>
        </w:rPr>
        <w:t>模态，激振</w:t>
      </w:r>
      <w:r>
        <w:rPr>
          <w:rFonts w:hint="eastAsia" w:ascii="宋体" w:hAnsi="宋体" w:cs="宋体"/>
          <w:color w:val="auto"/>
          <w:szCs w:val="21"/>
          <w:highlight w:val="none"/>
          <w:lang w:val="en-US" w:eastAsia="zh-CN"/>
        </w:rPr>
        <w:t>引</w:t>
      </w:r>
      <w:r>
        <w:rPr>
          <w:rFonts w:hint="eastAsia" w:ascii="宋体" w:hAnsi="宋体" w:eastAsia="宋体" w:cs="宋体"/>
          <w:color w:val="auto"/>
          <w:szCs w:val="21"/>
          <w:highlight w:val="none"/>
        </w:rPr>
        <w:t>起的结构响应</w:t>
      </w:r>
      <w:r>
        <w:rPr>
          <w:rFonts w:hint="eastAsia" w:ascii="宋体" w:hAnsi="宋体" w:cs="宋体"/>
          <w:color w:val="auto"/>
          <w:szCs w:val="21"/>
          <w:highlight w:val="none"/>
          <w:lang w:val="en-US" w:eastAsia="zh-CN"/>
        </w:rPr>
        <w:t>幅值信号</w:t>
      </w:r>
      <w:r>
        <w:rPr>
          <w:rFonts w:hint="eastAsia" w:ascii="宋体" w:hAnsi="宋体" w:eastAsia="宋体" w:cs="宋体"/>
          <w:color w:val="auto"/>
          <w:szCs w:val="21"/>
          <w:highlight w:val="none"/>
        </w:rPr>
        <w:t>应在线性范围内</w:t>
      </w:r>
      <w:r>
        <w:rPr>
          <w:rFonts w:hint="eastAsia" w:ascii="宋体" w:hAnsi="宋体" w:cs="宋体"/>
          <w:color w:val="auto"/>
          <w:szCs w:val="21"/>
          <w:highlight w:val="none"/>
          <w:lang w:eastAsia="zh-CN"/>
        </w:rPr>
        <w:t>。</w:t>
      </w:r>
    </w:p>
    <w:p>
      <w:pPr>
        <w:pStyle w:val="11"/>
        <w:keepNext w:val="0"/>
        <w:keepLines w:val="0"/>
        <w:pageBreakBefore w:val="0"/>
        <w:widowControl w:val="0"/>
        <w:numPr>
          <w:ilvl w:val="0"/>
          <w:numId w:val="10"/>
        </w:numPr>
        <w:kinsoku/>
        <w:wordWrap/>
        <w:overflowPunct/>
        <w:topLinePunct w:val="0"/>
        <w:autoSpaceDE/>
        <w:autoSpaceDN/>
        <w:bidi w:val="0"/>
        <w:adjustRightInd/>
        <w:snapToGrid/>
        <w:spacing w:after="0"/>
        <w:ind w:left="0" w:firstLine="420" w:firstLineChars="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激励方向应沿要求的施力方向，</w:t>
      </w:r>
      <w:r>
        <w:rPr>
          <w:rFonts w:ascii="Times New Roman" w:hAnsi="宋体" w:eastAsia="宋体" w:cs="Times New Roman"/>
          <w:color w:val="auto"/>
          <w:szCs w:val="21"/>
          <w:highlight w:val="none"/>
        </w:rPr>
        <w:t>锤击时接触时间应尽可能短，</w:t>
      </w:r>
      <w:r>
        <w:rPr>
          <w:rFonts w:hint="eastAsia" w:ascii="Times New Roman" w:hAnsi="宋体" w:cs="Times New Roman"/>
          <w:color w:val="auto"/>
          <w:szCs w:val="21"/>
          <w:highlight w:val="none"/>
          <w:lang w:val="en-US" w:eastAsia="zh-CN"/>
        </w:rPr>
        <w:t>单次激励时应</w:t>
      </w:r>
      <w:r>
        <w:rPr>
          <w:rFonts w:ascii="Times New Roman" w:hAnsi="宋体" w:eastAsia="宋体" w:cs="Times New Roman"/>
          <w:color w:val="auto"/>
          <w:szCs w:val="21"/>
          <w:highlight w:val="none"/>
        </w:rPr>
        <w:t>避免连击</w:t>
      </w:r>
      <w:r>
        <w:rPr>
          <w:rFonts w:hint="eastAsia" w:ascii="Times New Roman" w:hAnsi="宋体" w:cs="Times New Roman"/>
          <w:color w:val="auto"/>
          <w:szCs w:val="21"/>
          <w:highlight w:val="none"/>
          <w:lang w:eastAsia="zh-CN"/>
        </w:rPr>
        <w:t>。</w:t>
      </w:r>
    </w:p>
    <w:p>
      <w:pPr>
        <w:pStyle w:val="11"/>
        <w:keepNext w:val="0"/>
        <w:keepLines w:val="0"/>
        <w:pageBreakBefore w:val="0"/>
        <w:widowControl w:val="0"/>
        <w:numPr>
          <w:ilvl w:val="0"/>
          <w:numId w:val="10"/>
        </w:numPr>
        <w:kinsoku/>
        <w:wordWrap/>
        <w:overflowPunct/>
        <w:topLinePunct w:val="0"/>
        <w:autoSpaceDE/>
        <w:autoSpaceDN/>
        <w:bidi w:val="0"/>
        <w:adjustRightInd/>
        <w:snapToGrid/>
        <w:spacing w:after="0"/>
        <w:ind w:left="0" w:firstLine="420" w:firstLineChars="0"/>
        <w:jc w:val="left"/>
        <w:textAlignment w:val="auto"/>
        <w:rPr>
          <w:rFonts w:ascii="宋体" w:hAnsi="宋体" w:eastAsia="宋体" w:cs="宋体"/>
          <w:color w:val="auto"/>
          <w:szCs w:val="21"/>
          <w:highlight w:val="none"/>
        </w:rPr>
      </w:pPr>
      <w:r>
        <w:rPr>
          <w:rFonts w:hint="eastAsia" w:ascii="Times New Roman" w:hAnsi="宋体" w:cs="Times New Roman"/>
          <w:color w:val="auto"/>
          <w:szCs w:val="21"/>
          <w:highlight w:val="none"/>
          <w:lang w:val="en-US" w:eastAsia="zh-CN"/>
        </w:rPr>
        <w:t>两次激励之间的</w:t>
      </w:r>
      <w:r>
        <w:rPr>
          <w:rFonts w:ascii="Times New Roman" w:hAnsi="宋体" w:eastAsia="宋体" w:cs="Times New Roman"/>
          <w:color w:val="auto"/>
          <w:szCs w:val="21"/>
          <w:highlight w:val="none"/>
        </w:rPr>
        <w:t>时间间隔应保证响应信号衰减到</w:t>
      </w:r>
      <w:r>
        <w:rPr>
          <w:rFonts w:hint="eastAsia" w:ascii="Times New Roman" w:hAnsi="宋体" w:cs="Times New Roman"/>
          <w:color w:val="auto"/>
          <w:szCs w:val="21"/>
          <w:highlight w:val="none"/>
          <w:lang w:val="en-US" w:eastAsia="zh-CN"/>
        </w:rPr>
        <w:t>不大于</w:t>
      </w:r>
      <w:r>
        <w:rPr>
          <w:rFonts w:ascii="Times New Roman" w:hAnsi="宋体" w:eastAsia="宋体" w:cs="Times New Roman"/>
          <w:color w:val="auto"/>
          <w:szCs w:val="21"/>
          <w:highlight w:val="none"/>
        </w:rPr>
        <w:t>初始最大值的</w:t>
      </w:r>
      <w:r>
        <w:rPr>
          <w:rFonts w:ascii="Times New Roman" w:hAnsi="Times New Roman" w:eastAsia="宋体" w:cs="Times New Roman"/>
          <w:color w:val="auto"/>
          <w:szCs w:val="21"/>
          <w:highlight w:val="none"/>
        </w:rPr>
        <w:t>5%</w:t>
      </w:r>
      <w:r>
        <w:rPr>
          <w:rFonts w:hint="eastAsia" w:ascii="Times New Roman" w:hAnsi="宋体" w:cs="Times New Roman"/>
          <w:color w:val="auto"/>
          <w:szCs w:val="21"/>
          <w:highlight w:val="none"/>
          <w:lang w:eastAsia="zh-CN"/>
        </w:rPr>
        <w:t>。</w:t>
      </w:r>
    </w:p>
    <w:p>
      <w:pPr>
        <w:pStyle w:val="11"/>
        <w:keepNext w:val="0"/>
        <w:keepLines w:val="0"/>
        <w:pageBreakBefore w:val="0"/>
        <w:widowControl w:val="0"/>
        <w:numPr>
          <w:ilvl w:val="0"/>
          <w:numId w:val="10"/>
        </w:numPr>
        <w:kinsoku/>
        <w:wordWrap/>
        <w:overflowPunct/>
        <w:topLinePunct w:val="0"/>
        <w:autoSpaceDE/>
        <w:autoSpaceDN/>
        <w:bidi w:val="0"/>
        <w:adjustRightInd/>
        <w:snapToGrid/>
        <w:spacing w:after="0"/>
        <w:ind w:left="0" w:firstLine="420" w:firstLineChars="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激励应使力和响应信号输出不超载并满足信噪比的要求。</w:t>
      </w:r>
    </w:p>
    <w:p>
      <w:pPr>
        <w:pStyle w:val="11"/>
        <w:ind w:firstLine="210" w:firstLineChars="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典型的力传感器特性参数见表</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w:t>
      </w:r>
    </w:p>
    <w:p>
      <w:pPr>
        <w:pStyle w:val="18"/>
        <w:keepNext w:val="0"/>
        <w:keepLines w:val="0"/>
        <w:pageBreakBefore w:val="0"/>
        <w:widowControl w:val="0"/>
        <w:kinsoku/>
        <w:wordWrap/>
        <w:overflowPunct/>
        <w:topLinePunct w:val="0"/>
        <w:autoSpaceDE/>
        <w:autoSpaceDN/>
        <w:bidi w:val="0"/>
        <w:adjustRightInd/>
        <w:snapToGrid/>
        <w:spacing w:after="156" w:afterLines="50" w:line="240" w:lineRule="auto"/>
        <w:ind w:firstLine="0"/>
        <w:jc w:val="center"/>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表1 典型的力传感器特性参数</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2391"/>
        <w:gridCol w:w="2394"/>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测力</w:t>
            </w:r>
            <w:r>
              <w:rPr>
                <w:rFonts w:hint="eastAsia" w:ascii="Times New Roman" w:hAnsi="Times New Roman" w:cs="Times New Roman"/>
                <w:color w:val="auto"/>
                <w:sz w:val="18"/>
                <w:szCs w:val="18"/>
                <w:highlight w:val="none"/>
                <w:lang w:eastAsia="zh-CN"/>
              </w:rPr>
              <w:t>（</w:t>
            </w:r>
            <w:r>
              <w:rPr>
                <w:rFonts w:ascii="Times New Roman" w:hAnsi="Times New Roman" w:cs="Times New Roman"/>
                <w:color w:val="auto"/>
                <w:sz w:val="18"/>
                <w:szCs w:val="18"/>
                <w:highlight w:val="none"/>
              </w:rPr>
              <w:t>N</w:t>
            </w:r>
            <w:r>
              <w:rPr>
                <w:rFonts w:hint="eastAsia" w:ascii="Times New Roman" w:hAnsi="Times New Roman" w:cs="Times New Roman"/>
                <w:color w:val="auto"/>
                <w:sz w:val="18"/>
                <w:szCs w:val="18"/>
                <w:highlight w:val="none"/>
                <w:lang w:eastAsia="zh-CN"/>
              </w:rPr>
              <w:t>）</w:t>
            </w:r>
          </w:p>
        </w:tc>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共振频率</w:t>
            </w:r>
            <w:r>
              <w:rPr>
                <w:rFonts w:hint="eastAsia" w:ascii="Times New Roman" w:cs="Times New Roman"/>
                <w:color w:val="auto"/>
                <w:sz w:val="18"/>
                <w:szCs w:val="18"/>
                <w:highlight w:val="none"/>
                <w:lang w:eastAsia="zh-CN"/>
              </w:rPr>
              <w:t>（</w:t>
            </w:r>
            <w:r>
              <w:rPr>
                <w:rFonts w:ascii="Times New Roman" w:hAnsi="Times New Roman" w:cs="Times New Roman"/>
                <w:color w:val="auto"/>
                <w:sz w:val="18"/>
                <w:szCs w:val="18"/>
                <w:highlight w:val="none"/>
              </w:rPr>
              <w:t>kHz</w:t>
            </w:r>
            <w:r>
              <w:rPr>
                <w:rFonts w:hint="eastAsia" w:ascii="Times New Roman" w:cs="Times New Roman"/>
                <w:color w:val="auto"/>
                <w:sz w:val="18"/>
                <w:szCs w:val="18"/>
                <w:highlight w:val="none"/>
                <w:lang w:eastAsia="zh-CN"/>
              </w:rPr>
              <w:t>）</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灵敏度（</w:t>
            </w:r>
            <w:r>
              <w:rPr>
                <w:rFonts w:ascii="Times New Roman" w:hAnsi="Times New Roman" w:cs="Times New Roman"/>
                <w:color w:val="auto"/>
                <w:sz w:val="18"/>
                <w:szCs w:val="18"/>
                <w:highlight w:val="none"/>
              </w:rPr>
              <w:t>mV/N</w:t>
            </w:r>
            <w:r>
              <w:rPr>
                <w:rFonts w:ascii="Times New Roman" w:cs="Times New Roman"/>
                <w:color w:val="auto"/>
                <w:sz w:val="18"/>
                <w:szCs w:val="18"/>
                <w:highlight w:val="none"/>
              </w:rPr>
              <w:t>）</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质量</w:t>
            </w:r>
            <w:r>
              <w:rPr>
                <w:rFonts w:ascii="Times New Roman" w:hAnsi="Times New Roman" w:cs="Times New Roman"/>
                <w:color w:val="auto"/>
                <w:sz w:val="18"/>
                <w:szCs w:val="18"/>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0.0005~10</w:t>
            </w:r>
          </w:p>
        </w:tc>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300</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500</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0.05~100</w:t>
            </w:r>
          </w:p>
        </w:tc>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250</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300</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1-10000</w:t>
            </w:r>
          </w:p>
        </w:tc>
        <w:tc>
          <w:tcPr>
            <w:tcW w:w="1249"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150</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100</w:t>
            </w:r>
          </w:p>
        </w:tc>
        <w:tc>
          <w:tcPr>
            <w:tcW w:w="1251" w:type="pct"/>
            <w:noWrap w:val="0"/>
            <w:vAlign w:val="top"/>
          </w:tcPr>
          <w:p>
            <w:pPr>
              <w:pStyle w:val="18"/>
              <w:spacing w:after="0" w:line="298" w:lineRule="exact"/>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pStyle w:val="18"/>
              <w:spacing w:after="0" w:line="298" w:lineRule="exact"/>
              <w:ind w:left="0" w:leftChars="0" w:firstLine="0" w:firstLineChars="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10~250000</w:t>
            </w:r>
          </w:p>
        </w:tc>
        <w:tc>
          <w:tcPr>
            <w:tcW w:w="1249" w:type="pct"/>
            <w:noWrap w:val="0"/>
            <w:vAlign w:val="center"/>
          </w:tcPr>
          <w:p>
            <w:pPr>
              <w:pStyle w:val="18"/>
              <w:spacing w:after="0" w:line="298" w:lineRule="exact"/>
              <w:ind w:left="0" w:leftChars="0" w:firstLine="0" w:firstLineChars="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w:t>
            </w:r>
          </w:p>
        </w:tc>
        <w:tc>
          <w:tcPr>
            <w:tcW w:w="1251" w:type="pct"/>
            <w:noWrap w:val="0"/>
            <w:vAlign w:val="center"/>
          </w:tcPr>
          <w:p>
            <w:pPr>
              <w:pStyle w:val="18"/>
              <w:spacing w:after="0" w:line="298" w:lineRule="exact"/>
              <w:ind w:left="0" w:leftChars="0" w:firstLine="0" w:firstLineChars="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0.025</w:t>
            </w:r>
          </w:p>
        </w:tc>
        <w:tc>
          <w:tcPr>
            <w:tcW w:w="1251" w:type="pct"/>
            <w:noWrap w:val="0"/>
            <w:vAlign w:val="center"/>
          </w:tcPr>
          <w:p>
            <w:pPr>
              <w:pStyle w:val="18"/>
              <w:spacing w:after="0" w:line="298" w:lineRule="exact"/>
              <w:ind w:left="0" w:leftChars="0" w:firstLine="0" w:firstLineChars="0"/>
              <w:jc w:val="center"/>
              <w:rPr>
                <w:rFonts w:hint="eastAsia"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550</w:t>
            </w:r>
          </w:p>
        </w:tc>
      </w:tr>
    </w:tbl>
    <w:p>
      <w:pPr>
        <w:pStyle w:val="18"/>
        <w:spacing w:after="0" w:line="288" w:lineRule="auto"/>
        <w:ind w:leftChars="-1" w:hanging="1" w:hangingChars="1"/>
        <w:jc w:val="left"/>
        <w:rPr>
          <w:rFonts w:ascii="Times New Roman" w:hAnsi="Times New Roman" w:cs="Times New Roman"/>
          <w:color w:val="auto"/>
          <w:sz w:val="21"/>
          <w:szCs w:val="21"/>
          <w:highlight w:val="none"/>
        </w:rPr>
      </w:pPr>
      <w:r>
        <w:rPr>
          <w:rFonts w:ascii="Times New Roman" w:cs="Times New Roman"/>
          <w:color w:val="auto"/>
          <w:sz w:val="18"/>
          <w:szCs w:val="18"/>
          <w:highlight w:val="none"/>
        </w:rPr>
        <w:t>注</w:t>
      </w:r>
      <w:r>
        <w:rPr>
          <w:rFonts w:ascii="Times New Roman" w:hAnsi="Times New Roman" w:cs="Times New Roman"/>
          <w:color w:val="auto"/>
          <w:sz w:val="18"/>
          <w:szCs w:val="18"/>
          <w:highlight w:val="none"/>
        </w:rPr>
        <w:t>1</w:t>
      </w:r>
      <w:r>
        <w:rPr>
          <w:rFonts w:ascii="Times New Roman" w:cs="Times New Roman"/>
          <w:color w:val="auto"/>
          <w:sz w:val="18"/>
          <w:szCs w:val="18"/>
          <w:highlight w:val="none"/>
        </w:rPr>
        <w:t>：在空载传感器上的测量值</w:t>
      </w:r>
    </w:p>
    <w:p>
      <w:pPr>
        <w:pStyle w:val="19"/>
        <w:numPr>
          <w:ilvl w:val="0"/>
          <w:numId w:val="9"/>
        </w:numPr>
        <w:spacing w:beforeLines="50" w:afterLines="50"/>
        <w:ind w:left="0" w:leftChars="-1" w:hanging="2" w:hangingChars="1"/>
        <w:jc w:val="left"/>
        <w:outlineLvl w:val="2"/>
        <w:rPr>
          <w:rFonts w:ascii="黑体" w:hAnsi="黑体" w:eastAsia="黑体" w:cs="黑体"/>
          <w:bCs/>
          <w:color w:val="auto"/>
          <w:sz w:val="21"/>
          <w:szCs w:val="21"/>
          <w:highlight w:val="none"/>
        </w:rPr>
      </w:pPr>
      <w:bookmarkStart w:id="100" w:name="_Toc788"/>
      <w:bookmarkStart w:id="101" w:name="_Toc12616"/>
      <w:bookmarkStart w:id="102" w:name="_Toc7662"/>
      <w:bookmarkStart w:id="103" w:name="_Toc3173"/>
      <w:bookmarkStart w:id="104" w:name="_Toc10552"/>
      <w:bookmarkStart w:id="105" w:name="_Toc14255"/>
      <w:r>
        <w:rPr>
          <w:rFonts w:hint="eastAsia" w:ascii="黑体" w:hAnsi="黑体" w:eastAsia="黑体" w:cs="黑体"/>
          <w:bCs/>
          <w:color w:val="auto"/>
          <w:sz w:val="21"/>
          <w:szCs w:val="21"/>
          <w:highlight w:val="none"/>
          <w:lang w:val="en-US" w:eastAsia="zh-CN"/>
        </w:rPr>
        <w:t>加速度</w:t>
      </w:r>
      <w:r>
        <w:rPr>
          <w:rFonts w:hint="eastAsia" w:ascii="黑体" w:hAnsi="黑体" w:eastAsia="黑体" w:cs="黑体"/>
          <w:bCs/>
          <w:color w:val="auto"/>
          <w:sz w:val="21"/>
          <w:szCs w:val="21"/>
          <w:highlight w:val="none"/>
        </w:rPr>
        <w:t>传感器</w:t>
      </w:r>
      <w:bookmarkEnd w:id="100"/>
      <w:bookmarkEnd w:id="101"/>
      <w:bookmarkEnd w:id="102"/>
      <w:bookmarkEnd w:id="103"/>
      <w:bookmarkEnd w:id="104"/>
      <w:bookmarkEnd w:id="105"/>
    </w:p>
    <w:p>
      <w:pPr>
        <w:pStyle w:val="18"/>
        <w:spacing w:after="0" w:line="288" w:lineRule="auto"/>
        <w:ind w:leftChars="-1" w:hanging="2" w:hangingChars="1"/>
        <w:jc w:val="left"/>
        <w:rPr>
          <w:color w:val="auto"/>
          <w:sz w:val="21"/>
          <w:szCs w:val="21"/>
          <w:highlight w:val="none"/>
        </w:rPr>
      </w:pPr>
      <w:r>
        <w:rPr>
          <w:rFonts w:hint="eastAsia"/>
          <w:color w:val="auto"/>
          <w:sz w:val="21"/>
          <w:szCs w:val="21"/>
          <w:highlight w:val="none"/>
        </w:rPr>
        <w:t>传感器推荐采用压电式加速度传感器测量振动响应。</w:t>
      </w:r>
    </w:p>
    <w:p>
      <w:pPr>
        <w:pStyle w:val="18"/>
        <w:spacing w:after="0" w:line="288" w:lineRule="auto"/>
        <w:ind w:leftChars="-1" w:hanging="2" w:hangingChars="1"/>
        <w:jc w:val="left"/>
        <w:rPr>
          <w:color w:val="auto"/>
          <w:sz w:val="21"/>
          <w:szCs w:val="21"/>
          <w:highlight w:val="none"/>
        </w:rPr>
      </w:pPr>
      <w:r>
        <w:rPr>
          <w:rFonts w:hint="eastAsia"/>
          <w:color w:val="auto"/>
          <w:sz w:val="21"/>
          <w:szCs w:val="21"/>
          <w:highlight w:val="none"/>
        </w:rPr>
        <w:t>加速度传感器一般要求如下：</w:t>
      </w:r>
    </w:p>
    <w:p>
      <w:pPr>
        <w:pStyle w:val="18"/>
        <w:keepNext w:val="0"/>
        <w:keepLines w:val="0"/>
        <w:pageBreakBefore w:val="0"/>
        <w:widowControl w:val="0"/>
        <w:numPr>
          <w:ilvl w:val="0"/>
          <w:numId w:val="11"/>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满足试验的频率响应范围，被测信号频率要小于传感器安装谐振频率的1/10～1/5；</w:t>
      </w:r>
    </w:p>
    <w:p>
      <w:pPr>
        <w:pStyle w:val="18"/>
        <w:keepNext w:val="0"/>
        <w:keepLines w:val="0"/>
        <w:pageBreakBefore w:val="0"/>
        <w:widowControl w:val="0"/>
        <w:numPr>
          <w:ilvl w:val="0"/>
          <w:numId w:val="11"/>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足够小的质量，减少对被测结构的附加影响；</w:t>
      </w:r>
    </w:p>
    <w:p>
      <w:pPr>
        <w:pStyle w:val="18"/>
        <w:keepNext w:val="0"/>
        <w:keepLines w:val="0"/>
        <w:pageBreakBefore w:val="0"/>
        <w:widowControl w:val="0"/>
        <w:numPr>
          <w:ilvl w:val="0"/>
          <w:numId w:val="11"/>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满足试验要求的灵敏度或测量系统归一化灵敏度要求；</w:t>
      </w:r>
    </w:p>
    <w:p>
      <w:pPr>
        <w:pStyle w:val="18"/>
        <w:keepNext w:val="0"/>
        <w:keepLines w:val="0"/>
        <w:pageBreakBefore w:val="0"/>
        <w:widowControl w:val="0"/>
        <w:numPr>
          <w:ilvl w:val="0"/>
          <w:numId w:val="11"/>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满足试验要求最小幅值的分辨率和信噪比；</w:t>
      </w:r>
    </w:p>
    <w:p>
      <w:pPr>
        <w:pStyle w:val="18"/>
        <w:keepNext w:val="0"/>
        <w:keepLines w:val="0"/>
        <w:pageBreakBefore w:val="0"/>
        <w:widowControl w:val="0"/>
        <w:numPr>
          <w:ilvl w:val="0"/>
          <w:numId w:val="11"/>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足够小的横向灵敏度；</w:t>
      </w:r>
    </w:p>
    <w:p>
      <w:pPr>
        <w:pStyle w:val="18"/>
        <w:keepNext w:val="0"/>
        <w:keepLines w:val="0"/>
        <w:pageBreakBefore w:val="0"/>
        <w:widowControl w:val="0"/>
        <w:numPr>
          <w:ilvl w:val="0"/>
          <w:numId w:val="11"/>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相位误差应小于5°。</w:t>
      </w:r>
    </w:p>
    <w:p>
      <w:pPr>
        <w:pStyle w:val="18"/>
        <w:spacing w:line="288" w:lineRule="auto"/>
        <w:ind w:leftChars="-1" w:hanging="2" w:hangingChars="1"/>
        <w:jc w:val="left"/>
        <w:rPr>
          <w:color w:val="auto"/>
          <w:sz w:val="21"/>
          <w:szCs w:val="21"/>
          <w:highlight w:val="none"/>
        </w:rPr>
      </w:pPr>
      <w:r>
        <w:rPr>
          <w:rFonts w:hint="eastAsia"/>
          <w:color w:val="auto"/>
          <w:sz w:val="21"/>
          <w:szCs w:val="21"/>
          <w:highlight w:val="none"/>
        </w:rPr>
        <w:t>典型压电式加速度传感器特性见表2。</w:t>
      </w:r>
    </w:p>
    <w:p>
      <w:pPr>
        <w:pStyle w:val="18"/>
        <w:keepNext w:val="0"/>
        <w:keepLines w:val="0"/>
        <w:pageBreakBefore w:val="0"/>
        <w:widowControl w:val="0"/>
        <w:kinsoku/>
        <w:wordWrap/>
        <w:overflowPunct/>
        <w:topLinePunct w:val="0"/>
        <w:autoSpaceDE/>
        <w:autoSpaceDN/>
        <w:bidi w:val="0"/>
        <w:adjustRightInd/>
        <w:snapToGrid/>
        <w:spacing w:after="156" w:afterLines="50" w:line="240" w:lineRule="auto"/>
        <w:ind w:leftChars="-1" w:hanging="2" w:hangingChars="1"/>
        <w:jc w:val="center"/>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表2 典型的电压型压电加速度计特性</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2391"/>
        <w:gridCol w:w="2394"/>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最大加速度</w:t>
            </w:r>
            <w:r>
              <w:rPr>
                <w:rFonts w:ascii="Times New Roman" w:hAnsi="Times New Roman" w:cs="Times New Roman"/>
                <w:color w:val="auto"/>
                <w:sz w:val="18"/>
                <w:szCs w:val="18"/>
                <w:highlight w:val="none"/>
              </w:rPr>
              <w:t xml:space="preserve"> /</w:t>
            </w:r>
            <w:r>
              <w:rPr>
                <w:rFonts w:ascii="Times New Roman" w:cs="Times New Roman"/>
                <w:color w:val="auto"/>
                <w:sz w:val="18"/>
                <w:szCs w:val="18"/>
                <w:highlight w:val="none"/>
              </w:rPr>
              <w:t>（</w:t>
            </w:r>
            <w:r>
              <w:rPr>
                <w:rFonts w:ascii="Times New Roman" w:hAnsi="Times New Roman" w:cs="Times New Roman"/>
                <w:color w:val="auto"/>
                <w:sz w:val="18"/>
                <w:szCs w:val="18"/>
                <w:highlight w:val="none"/>
              </w:rPr>
              <w:t>m</w:t>
            </w:r>
            <w:r>
              <w:rPr>
                <w:rFonts w:ascii="Times New Roman" w:hAnsi="Times New Roman" w:cs="Times New Roman"/>
                <w:color w:val="auto"/>
                <w:sz w:val="18"/>
                <w:szCs w:val="18"/>
                <w:highlight w:val="none"/>
                <w:vertAlign w:val="superscript"/>
              </w:rPr>
              <w:t>2</w:t>
            </w:r>
            <w:r>
              <w:rPr>
                <w:rFonts w:ascii="Times New Roman" w:hAnsi="Times New Roman" w:cs="Times New Roman"/>
                <w:color w:val="auto"/>
                <w:sz w:val="18"/>
                <w:szCs w:val="18"/>
                <w:highlight w:val="none"/>
              </w:rPr>
              <w:t>/s</w:t>
            </w:r>
            <w:r>
              <w:rPr>
                <w:rFonts w:ascii="Times New Roman" w:cs="Times New Roman"/>
                <w:color w:val="auto"/>
                <w:sz w:val="18"/>
                <w:szCs w:val="18"/>
                <w:highlight w:val="none"/>
              </w:rPr>
              <w:t>）</w:t>
            </w:r>
          </w:p>
        </w:tc>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频率范围</w:t>
            </w:r>
            <w:r>
              <w:rPr>
                <w:rFonts w:ascii="Times New Roman" w:hAnsi="Times New Roman" w:cs="Times New Roman"/>
                <w:color w:val="auto"/>
                <w:sz w:val="18"/>
                <w:szCs w:val="18"/>
                <w:highlight w:val="none"/>
              </w:rPr>
              <w:t xml:space="preserve"> /Hz</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灵敏度</w:t>
            </w:r>
            <w:r>
              <w:rPr>
                <w:rFonts w:ascii="Times New Roman" w:hAnsi="Times New Roman" w:cs="Times New Roman"/>
                <w:color w:val="auto"/>
                <w:sz w:val="18"/>
                <w:szCs w:val="18"/>
                <w:highlight w:val="none"/>
              </w:rPr>
              <w:t xml:space="preserve"> /[mV/(m/s</w:t>
            </w:r>
            <w:r>
              <w:rPr>
                <w:rFonts w:ascii="Times New Roman" w:hAnsi="Times New Roman" w:cs="Times New Roman"/>
                <w:color w:val="auto"/>
                <w:sz w:val="18"/>
                <w:szCs w:val="18"/>
                <w:highlight w:val="none"/>
                <w:vertAlign w:val="superscript"/>
              </w:rPr>
              <w:t>2</w:t>
            </w:r>
            <w:r>
              <w:rPr>
                <w:rFonts w:ascii="Times New Roman" w:hAnsi="Times New Roman" w:cs="Times New Roman"/>
                <w:color w:val="auto"/>
                <w:sz w:val="18"/>
                <w:szCs w:val="18"/>
                <w:highlight w:val="none"/>
              </w:rPr>
              <w:t>)]</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cs="Times New Roman"/>
                <w:color w:val="auto"/>
                <w:sz w:val="18"/>
                <w:szCs w:val="18"/>
                <w:highlight w:val="none"/>
              </w:rPr>
              <w:t>质量</w:t>
            </w:r>
            <w:r>
              <w:rPr>
                <w:rFonts w:ascii="Times New Roman" w:hAnsi="Times New Roman" w:cs="Times New Roman"/>
                <w:color w:val="auto"/>
                <w:sz w:val="18"/>
                <w:szCs w:val="18"/>
                <w:highlight w:val="none"/>
              </w:rPr>
              <w:t xml:space="preserve">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0"/>
            <w:vAlign w:val="center"/>
          </w:tcPr>
          <w:p>
            <w:pPr>
              <w:pStyle w:val="18"/>
              <w:spacing w:after="0" w:line="300" w:lineRule="exact"/>
              <w:ind w:leftChars="-1" w:hanging="1" w:hangingChars="1"/>
              <w:jc w:val="center"/>
              <w:rPr>
                <w:rFonts w:hint="eastAsia"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5000</w:t>
            </w:r>
            <w:r>
              <w:rPr>
                <w:rFonts w:hint="eastAsia" w:ascii="Times New Roman" w:hAnsi="Times New Roman" w:cs="Times New Roman"/>
                <w:color w:val="auto"/>
                <w:sz w:val="18"/>
                <w:szCs w:val="18"/>
                <w:highlight w:val="none"/>
                <w:lang w:eastAsia="zh-CN"/>
              </w:rPr>
              <w:t>（？）</w:t>
            </w:r>
          </w:p>
        </w:tc>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1~10000</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2000</w:t>
            </w:r>
          </w:p>
        </w:tc>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1~15000</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500</w:t>
            </w:r>
          </w:p>
        </w:tc>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1~20000</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1249"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1~30000</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30</w:t>
            </w:r>
          </w:p>
        </w:tc>
        <w:tc>
          <w:tcPr>
            <w:tcW w:w="1251" w:type="pct"/>
            <w:noWrap w:val="0"/>
            <w:vAlign w:val="center"/>
          </w:tcPr>
          <w:p>
            <w:pPr>
              <w:pStyle w:val="18"/>
              <w:spacing w:after="0" w:line="300" w:lineRule="exact"/>
              <w:ind w:leftChars="-1" w:hanging="1" w:hangingChars="1"/>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55</w:t>
            </w:r>
          </w:p>
        </w:tc>
      </w:tr>
    </w:tbl>
    <w:p>
      <w:pPr>
        <w:pStyle w:val="19"/>
        <w:keepNext/>
        <w:keepLines w:val="0"/>
        <w:pageBreakBefore w:val="0"/>
        <w:widowControl w:val="0"/>
        <w:numPr>
          <w:ilvl w:val="0"/>
          <w:numId w:val="9"/>
        </w:numPr>
        <w:kinsoku/>
        <w:wordWrap/>
        <w:overflowPunct/>
        <w:topLinePunct w:val="0"/>
        <w:autoSpaceDE/>
        <w:autoSpaceDN/>
        <w:bidi w:val="0"/>
        <w:adjustRightInd/>
        <w:snapToGrid/>
        <w:spacing w:beforeLines="50" w:afterLines="50"/>
        <w:ind w:left="0" w:leftChars="-1" w:hanging="2" w:hangingChars="1"/>
        <w:jc w:val="left"/>
        <w:textAlignment w:val="auto"/>
        <w:outlineLvl w:val="2"/>
        <w:rPr>
          <w:rFonts w:ascii="黑体" w:hAnsi="黑体" w:eastAsia="黑体" w:cs="黑体"/>
          <w:bCs/>
          <w:color w:val="auto"/>
          <w:sz w:val="21"/>
          <w:szCs w:val="21"/>
          <w:highlight w:val="none"/>
        </w:rPr>
      </w:pPr>
      <w:bookmarkStart w:id="106" w:name="_Toc11487"/>
      <w:bookmarkStart w:id="107" w:name="_Toc8237"/>
      <w:bookmarkStart w:id="108" w:name="_Toc5116"/>
      <w:bookmarkStart w:id="109" w:name="_Toc13169"/>
      <w:bookmarkStart w:id="110" w:name="_Toc14610"/>
      <w:bookmarkStart w:id="111" w:name="_Toc18156"/>
      <w:r>
        <w:rPr>
          <w:rFonts w:hint="eastAsia" w:ascii="黑体" w:hAnsi="黑体" w:eastAsia="黑体" w:cs="黑体"/>
          <w:bCs/>
          <w:color w:val="auto"/>
          <w:sz w:val="21"/>
          <w:szCs w:val="21"/>
          <w:highlight w:val="none"/>
        </w:rPr>
        <w:t>动态信号分析仪</w:t>
      </w:r>
      <w:bookmarkEnd w:id="106"/>
      <w:bookmarkEnd w:id="107"/>
      <w:bookmarkEnd w:id="108"/>
      <w:bookmarkEnd w:id="109"/>
      <w:bookmarkEnd w:id="110"/>
      <w:bookmarkEnd w:id="111"/>
    </w:p>
    <w:p>
      <w:pPr>
        <w:pStyle w:val="18"/>
        <w:spacing w:after="0" w:line="288" w:lineRule="auto"/>
        <w:ind w:leftChars="0" w:firstLine="420" w:firstLineChars="200"/>
        <w:jc w:val="left"/>
        <w:rPr>
          <w:color w:val="auto"/>
          <w:sz w:val="21"/>
          <w:szCs w:val="21"/>
          <w:highlight w:val="none"/>
        </w:rPr>
      </w:pPr>
      <w:r>
        <w:rPr>
          <w:rFonts w:hint="eastAsia"/>
          <w:color w:val="auto"/>
          <w:sz w:val="21"/>
          <w:szCs w:val="21"/>
          <w:highlight w:val="none"/>
        </w:rPr>
        <w:t>动态分析仪至少应具有</w:t>
      </w:r>
      <w:r>
        <w:rPr>
          <w:rFonts w:hint="eastAsia"/>
          <w:color w:val="auto"/>
          <w:sz w:val="21"/>
          <w:szCs w:val="21"/>
          <w:highlight w:val="none"/>
          <w:lang w:val="en-US" w:eastAsia="zh-CN"/>
        </w:rPr>
        <w:t>满足要求的</w:t>
      </w:r>
      <w:r>
        <w:rPr>
          <w:rFonts w:hint="eastAsia"/>
          <w:color w:val="auto"/>
          <w:sz w:val="21"/>
          <w:szCs w:val="21"/>
          <w:highlight w:val="none"/>
        </w:rPr>
        <w:t>多输入信号通道，各通道间应能无</w:t>
      </w:r>
      <w:r>
        <w:rPr>
          <w:rFonts w:hint="eastAsia"/>
          <w:color w:val="auto"/>
          <w:sz w:val="21"/>
          <w:szCs w:val="21"/>
          <w:highlight w:val="none"/>
          <w:lang w:val="en-US" w:eastAsia="zh-CN"/>
        </w:rPr>
        <w:t>时差同步</w:t>
      </w:r>
      <w:r>
        <w:rPr>
          <w:rFonts w:hint="eastAsia"/>
          <w:color w:val="auto"/>
          <w:sz w:val="21"/>
          <w:szCs w:val="21"/>
          <w:highlight w:val="none"/>
        </w:rPr>
        <w:t>采集</w:t>
      </w:r>
      <w:r>
        <w:rPr>
          <w:rFonts w:hint="eastAsia"/>
          <w:color w:val="auto"/>
          <w:sz w:val="21"/>
          <w:szCs w:val="21"/>
          <w:highlight w:val="none"/>
          <w:lang w:val="en-US" w:eastAsia="zh-CN"/>
        </w:rPr>
        <w:t>,且具备功能：</w:t>
      </w:r>
    </w:p>
    <w:p>
      <w:pPr>
        <w:pStyle w:val="18"/>
        <w:keepNext w:val="0"/>
        <w:keepLines w:val="0"/>
        <w:pageBreakBefore w:val="0"/>
        <w:widowControl w:val="0"/>
        <w:numPr>
          <w:ilvl w:val="0"/>
          <w:numId w:val="12"/>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滤波以及信号瞬间捕捉；</w:t>
      </w:r>
    </w:p>
    <w:p>
      <w:pPr>
        <w:pStyle w:val="18"/>
        <w:keepNext w:val="0"/>
        <w:keepLines w:val="0"/>
        <w:pageBreakBefore w:val="0"/>
        <w:widowControl w:val="0"/>
        <w:numPr>
          <w:ilvl w:val="0"/>
          <w:numId w:val="12"/>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信号放大器；</w:t>
      </w:r>
    </w:p>
    <w:p>
      <w:pPr>
        <w:pStyle w:val="18"/>
        <w:keepNext w:val="0"/>
        <w:keepLines w:val="0"/>
        <w:pageBreakBefore w:val="0"/>
        <w:widowControl w:val="0"/>
        <w:numPr>
          <w:ilvl w:val="0"/>
          <w:numId w:val="12"/>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频谱分析、频响函数、相位及相干函数分析；</w:t>
      </w:r>
    </w:p>
    <w:p>
      <w:pPr>
        <w:pStyle w:val="18"/>
        <w:keepNext w:val="0"/>
        <w:keepLines w:val="0"/>
        <w:pageBreakBefore w:val="0"/>
        <w:widowControl w:val="0"/>
        <w:numPr>
          <w:ilvl w:val="0"/>
          <w:numId w:val="12"/>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信号的加窗处理和多次测量数据的平均处理；</w:t>
      </w:r>
    </w:p>
    <w:p>
      <w:pPr>
        <w:pStyle w:val="18"/>
        <w:keepNext w:val="0"/>
        <w:keepLines w:val="0"/>
        <w:pageBreakBefore w:val="0"/>
        <w:widowControl w:val="0"/>
        <w:numPr>
          <w:ilvl w:val="0"/>
          <w:numId w:val="12"/>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原始数据储存功能；</w:t>
      </w:r>
    </w:p>
    <w:p>
      <w:pPr>
        <w:pStyle w:val="18"/>
        <w:keepNext w:val="0"/>
        <w:keepLines w:val="0"/>
        <w:pageBreakBefore w:val="0"/>
        <w:widowControl w:val="0"/>
        <w:numPr>
          <w:ilvl w:val="0"/>
          <w:numId w:val="12"/>
        </w:numPr>
        <w:kinsoku/>
        <w:wordWrap/>
        <w:overflowPunct/>
        <w:topLinePunct w:val="0"/>
        <w:autoSpaceDE/>
        <w:autoSpaceDN/>
        <w:bidi w:val="0"/>
        <w:adjustRightInd/>
        <w:snapToGrid/>
        <w:spacing w:after="0" w:line="240" w:lineRule="auto"/>
        <w:ind w:left="839" w:leftChars="0" w:hanging="420" w:firstLineChars="0"/>
        <w:jc w:val="left"/>
        <w:textAlignment w:val="auto"/>
        <w:rPr>
          <w:color w:val="auto"/>
          <w:sz w:val="21"/>
          <w:szCs w:val="21"/>
          <w:highlight w:val="none"/>
        </w:rPr>
      </w:pPr>
      <w:r>
        <w:rPr>
          <w:rFonts w:hint="eastAsia"/>
          <w:color w:val="auto"/>
          <w:sz w:val="21"/>
          <w:szCs w:val="21"/>
          <w:highlight w:val="none"/>
        </w:rPr>
        <w:t>抗外界电磁干扰的能力。</w:t>
      </w:r>
    </w:p>
    <w:p>
      <w:pPr>
        <w:pStyle w:val="19"/>
        <w:numPr>
          <w:ilvl w:val="0"/>
          <w:numId w:val="9"/>
        </w:numPr>
        <w:spacing w:beforeLines="50" w:afterLines="50"/>
        <w:ind w:left="0" w:firstLine="0"/>
        <w:jc w:val="left"/>
        <w:outlineLvl w:val="2"/>
        <w:rPr>
          <w:rFonts w:ascii="黑体" w:hAnsi="黑体" w:eastAsia="黑体" w:cs="黑体"/>
          <w:bCs/>
          <w:color w:val="auto"/>
          <w:sz w:val="21"/>
          <w:szCs w:val="21"/>
          <w:highlight w:val="none"/>
        </w:rPr>
      </w:pPr>
      <w:bookmarkStart w:id="112" w:name="_Toc10015"/>
      <w:bookmarkStart w:id="113" w:name="_Toc7603"/>
      <w:bookmarkStart w:id="114" w:name="_Toc30965"/>
      <w:bookmarkStart w:id="115" w:name="_Toc23002"/>
      <w:bookmarkStart w:id="116" w:name="_Toc25732"/>
      <w:bookmarkStart w:id="117" w:name="_Toc28486"/>
      <w:r>
        <w:rPr>
          <w:rFonts w:hint="eastAsia" w:ascii="黑体" w:hAnsi="黑体" w:eastAsia="黑体" w:cs="黑体"/>
          <w:bCs/>
          <w:color w:val="auto"/>
          <w:sz w:val="21"/>
          <w:szCs w:val="21"/>
          <w:highlight w:val="none"/>
        </w:rPr>
        <w:t>模态分析软件</w:t>
      </w:r>
      <w:bookmarkEnd w:id="112"/>
      <w:bookmarkEnd w:id="113"/>
      <w:bookmarkEnd w:id="114"/>
      <w:bookmarkEnd w:id="115"/>
      <w:bookmarkEnd w:id="116"/>
      <w:bookmarkEnd w:id="117"/>
    </w:p>
    <w:p>
      <w:pPr>
        <w:pStyle w:val="18"/>
        <w:spacing w:after="0" w:line="288" w:lineRule="auto"/>
        <w:ind w:firstLine="420" w:firstLineChars="200"/>
        <w:jc w:val="left"/>
        <w:rPr>
          <w:rFonts w:hint="eastAsia"/>
          <w:color w:val="auto"/>
          <w:sz w:val="21"/>
          <w:szCs w:val="21"/>
          <w:highlight w:val="none"/>
        </w:rPr>
      </w:pPr>
      <w:r>
        <w:rPr>
          <w:rFonts w:hint="eastAsia"/>
          <w:color w:val="auto"/>
          <w:sz w:val="21"/>
          <w:szCs w:val="21"/>
          <w:highlight w:val="none"/>
        </w:rPr>
        <w:t>模态分析软件应具备以下分析功能：</w:t>
      </w:r>
    </w:p>
    <w:p>
      <w:pPr>
        <w:pStyle w:val="18"/>
        <w:keepNext w:val="0"/>
        <w:keepLines w:val="0"/>
        <w:pageBreakBefore w:val="0"/>
        <w:widowControl w:val="0"/>
        <w:numPr>
          <w:ilvl w:val="0"/>
          <w:numId w:val="13"/>
        </w:numPr>
        <w:kinsoku/>
        <w:wordWrap/>
        <w:overflowPunct/>
        <w:topLinePunct w:val="0"/>
        <w:autoSpaceDE/>
        <w:autoSpaceDN/>
        <w:bidi w:val="0"/>
        <w:adjustRightInd/>
        <w:snapToGrid/>
        <w:spacing w:after="0" w:line="240" w:lineRule="auto"/>
        <w:ind w:left="839" w:hanging="420" w:firstLineChars="0"/>
        <w:jc w:val="left"/>
        <w:textAlignment w:val="auto"/>
        <w:rPr>
          <w:rFonts w:hint="eastAsia"/>
          <w:color w:val="auto"/>
          <w:sz w:val="21"/>
          <w:szCs w:val="21"/>
          <w:highlight w:val="none"/>
        </w:rPr>
      </w:pPr>
      <w:r>
        <w:rPr>
          <w:rFonts w:hint="eastAsia"/>
          <w:color w:val="auto"/>
          <w:sz w:val="21"/>
          <w:szCs w:val="21"/>
          <w:highlight w:val="none"/>
        </w:rPr>
        <w:t>具有多种坐标系，能够根据不同形状、尺寸的结构自定义建立模型；</w:t>
      </w:r>
    </w:p>
    <w:p>
      <w:pPr>
        <w:pStyle w:val="18"/>
        <w:keepNext w:val="0"/>
        <w:keepLines w:val="0"/>
        <w:pageBreakBefore w:val="0"/>
        <w:widowControl w:val="0"/>
        <w:numPr>
          <w:ilvl w:val="0"/>
          <w:numId w:val="13"/>
        </w:numPr>
        <w:kinsoku/>
        <w:wordWrap/>
        <w:overflowPunct/>
        <w:topLinePunct w:val="0"/>
        <w:autoSpaceDE/>
        <w:autoSpaceDN/>
        <w:bidi w:val="0"/>
        <w:adjustRightInd/>
        <w:snapToGrid/>
        <w:spacing w:after="0" w:line="240" w:lineRule="auto"/>
        <w:ind w:left="839" w:hanging="420" w:firstLineChars="0"/>
        <w:jc w:val="left"/>
        <w:textAlignment w:val="auto"/>
        <w:rPr>
          <w:rFonts w:hint="eastAsia"/>
          <w:color w:val="auto"/>
          <w:sz w:val="21"/>
          <w:szCs w:val="21"/>
          <w:highlight w:val="none"/>
        </w:rPr>
      </w:pPr>
      <w:r>
        <w:rPr>
          <w:rFonts w:hint="eastAsia"/>
          <w:color w:val="auto"/>
          <w:sz w:val="21"/>
          <w:szCs w:val="21"/>
          <w:highlight w:val="none"/>
        </w:rPr>
        <w:t>具有涉及本领域的频域法、时域法等多种模态拟合方法；</w:t>
      </w:r>
    </w:p>
    <w:p>
      <w:pPr>
        <w:pStyle w:val="18"/>
        <w:keepNext w:val="0"/>
        <w:keepLines w:val="0"/>
        <w:pageBreakBefore w:val="0"/>
        <w:widowControl w:val="0"/>
        <w:numPr>
          <w:ilvl w:val="0"/>
          <w:numId w:val="13"/>
        </w:numPr>
        <w:kinsoku/>
        <w:wordWrap/>
        <w:overflowPunct/>
        <w:topLinePunct w:val="0"/>
        <w:autoSpaceDE/>
        <w:autoSpaceDN/>
        <w:bidi w:val="0"/>
        <w:adjustRightInd/>
        <w:snapToGrid/>
        <w:spacing w:after="0" w:line="240" w:lineRule="auto"/>
        <w:ind w:left="839" w:hanging="420" w:firstLineChars="0"/>
        <w:jc w:val="left"/>
        <w:textAlignment w:val="auto"/>
        <w:rPr>
          <w:rFonts w:hint="eastAsia"/>
          <w:color w:val="auto"/>
          <w:sz w:val="21"/>
          <w:szCs w:val="21"/>
          <w:highlight w:val="none"/>
        </w:rPr>
      </w:pPr>
      <w:r>
        <w:rPr>
          <w:rFonts w:hint="eastAsia"/>
          <w:color w:val="auto"/>
          <w:sz w:val="21"/>
          <w:szCs w:val="21"/>
          <w:highlight w:val="none"/>
        </w:rPr>
        <w:t>具有模态振型的三维动画显示功能。</w:t>
      </w:r>
    </w:p>
    <w:p>
      <w:pPr>
        <w:pStyle w:val="18"/>
        <w:keepNext w:val="0"/>
        <w:keepLines w:val="0"/>
        <w:pageBreakBefore w:val="0"/>
        <w:widowControl w:val="0"/>
        <w:numPr>
          <w:ilvl w:val="0"/>
          <w:numId w:val="14"/>
        </w:numPr>
        <w:kinsoku/>
        <w:wordWrap/>
        <w:overflowPunct/>
        <w:topLinePunct w:val="0"/>
        <w:autoSpaceDE/>
        <w:autoSpaceDN/>
        <w:bidi w:val="0"/>
        <w:adjustRightInd/>
        <w:snapToGrid/>
        <w:spacing w:after="0" w:line="240" w:lineRule="auto"/>
        <w:ind w:left="839" w:hanging="420" w:firstLineChars="0"/>
        <w:jc w:val="left"/>
        <w:textAlignment w:val="auto"/>
        <w:rPr>
          <w:rFonts w:hint="eastAsia"/>
          <w:color w:val="auto"/>
          <w:sz w:val="21"/>
          <w:szCs w:val="21"/>
          <w:highlight w:val="none"/>
        </w:rPr>
        <w:sectPr>
          <w:footerReference r:id="rId12" w:type="default"/>
          <w:footerReference r:id="rId13" w:type="even"/>
          <w:pgSz w:w="11906" w:h="16838"/>
          <w:pgMar w:top="1418" w:right="1134" w:bottom="1134" w:left="1418" w:header="1418" w:footer="1134" w:gutter="0"/>
          <w:pgNumType w:fmt="decimal" w:start="1"/>
          <w:cols w:space="720" w:num="1"/>
          <w:docGrid w:type="lines" w:linePitch="310" w:charSpace="0"/>
        </w:sectPr>
      </w:pPr>
    </w:p>
    <w:p>
      <w:pPr>
        <w:pStyle w:val="18"/>
        <w:numPr>
          <w:ilvl w:val="0"/>
          <w:numId w:val="1"/>
        </w:numPr>
        <w:spacing w:beforeLines="100" w:afterLines="100" w:line="240" w:lineRule="auto"/>
        <w:ind w:left="0" w:firstLine="0"/>
        <w:jc w:val="left"/>
        <w:outlineLvl w:val="1"/>
        <w:rPr>
          <w:rFonts w:ascii="黑体" w:hAnsi="黑体" w:eastAsia="黑体" w:cs="黑体"/>
          <w:bCs/>
          <w:color w:val="auto"/>
          <w:sz w:val="21"/>
          <w:szCs w:val="21"/>
          <w:highlight w:val="none"/>
        </w:rPr>
      </w:pPr>
      <w:bookmarkStart w:id="118" w:name="_Toc4825"/>
      <w:bookmarkStart w:id="119" w:name="_Toc15758"/>
      <w:bookmarkStart w:id="120" w:name="_Toc3773"/>
      <w:bookmarkStart w:id="121" w:name="_Toc28183"/>
      <w:bookmarkStart w:id="122" w:name="_Toc2516"/>
      <w:bookmarkStart w:id="123" w:name="_Toc10913"/>
      <w:r>
        <w:rPr>
          <w:rFonts w:hint="eastAsia" w:ascii="黑体" w:hAnsi="黑体" w:eastAsia="黑体" w:cs="黑体"/>
          <w:bCs/>
          <w:color w:val="auto"/>
          <w:sz w:val="21"/>
          <w:szCs w:val="21"/>
          <w:highlight w:val="none"/>
        </w:rPr>
        <w:t xml:space="preserve"> </w:t>
      </w:r>
      <w:bookmarkEnd w:id="118"/>
      <w:bookmarkEnd w:id="119"/>
      <w:bookmarkEnd w:id="120"/>
      <w:bookmarkEnd w:id="121"/>
      <w:bookmarkEnd w:id="122"/>
      <w:bookmarkEnd w:id="123"/>
      <w:bookmarkStart w:id="124" w:name="_Toc26839"/>
      <w:r>
        <w:rPr>
          <w:rFonts w:hint="eastAsia" w:ascii="黑体" w:hAnsi="黑体" w:eastAsia="黑体" w:cs="黑体"/>
          <w:bCs/>
          <w:color w:val="auto"/>
          <w:sz w:val="21"/>
          <w:szCs w:val="21"/>
          <w:highlight w:val="none"/>
          <w:lang w:val="en-US" w:eastAsia="zh-CN"/>
        </w:rPr>
        <w:t>共振频率校核</w:t>
      </w:r>
      <w:bookmarkEnd w:id="124"/>
    </w:p>
    <w:p>
      <w:pPr>
        <w:pStyle w:val="18"/>
        <w:spacing w:line="288" w:lineRule="auto"/>
        <w:ind w:firstLine="420" w:firstLineChars="200"/>
        <w:jc w:val="left"/>
        <w:rPr>
          <w:color w:val="auto"/>
          <w:sz w:val="21"/>
          <w:szCs w:val="21"/>
          <w:highlight w:val="none"/>
        </w:rPr>
      </w:pPr>
      <w:r>
        <w:rPr>
          <w:rFonts w:hint="eastAsia"/>
          <w:color w:val="auto"/>
          <w:sz w:val="21"/>
          <w:szCs w:val="21"/>
          <w:highlight w:val="none"/>
        </w:rPr>
        <w:t>校核频率范围，应对不同结构形式的机组</w:t>
      </w:r>
      <w:bookmarkStart w:id="156" w:name="_GoBack"/>
      <w:bookmarkEnd w:id="156"/>
      <w:r>
        <w:rPr>
          <w:rFonts w:hint="eastAsia"/>
          <w:color w:val="auto"/>
          <w:sz w:val="21"/>
          <w:szCs w:val="21"/>
          <w:highlight w:val="none"/>
        </w:rPr>
        <w:t>分开考虑，具体情况见表3.</w:t>
      </w:r>
    </w:p>
    <w:p>
      <w:pPr>
        <w:pStyle w:val="11"/>
        <w:numPr>
          <w:ilvl w:val="0"/>
          <w:numId w:val="0"/>
        </w:numPr>
        <w:spacing w:after="0"/>
        <w:jc w:val="center"/>
        <w:rPr>
          <w:color w:val="auto"/>
          <w:sz w:val="24"/>
          <w:highlight w:val="none"/>
        </w:rPr>
      </w:pPr>
      <w:r>
        <w:rPr>
          <w:rFonts w:hint="eastAsia" w:ascii="黑体" w:hAnsi="黑体" w:eastAsia="黑体" w:cs="黑体"/>
          <w:color w:val="auto"/>
          <w:szCs w:val="21"/>
          <w:highlight w:val="none"/>
        </w:rPr>
        <w:t>表3 汇总表</w:t>
      </w:r>
    </w:p>
    <w:tbl>
      <w:tblPr>
        <w:tblStyle w:val="12"/>
        <w:tblW w:w="8513" w:type="dxa"/>
        <w:jc w:val="center"/>
        <w:tblLayout w:type="autofit"/>
        <w:tblCellMar>
          <w:top w:w="0" w:type="dxa"/>
          <w:left w:w="108" w:type="dxa"/>
          <w:bottom w:w="0" w:type="dxa"/>
          <w:right w:w="108" w:type="dxa"/>
        </w:tblCellMar>
      </w:tblPr>
      <w:tblGrid>
        <w:gridCol w:w="1265"/>
        <w:gridCol w:w="1489"/>
        <w:gridCol w:w="3810"/>
        <w:gridCol w:w="1949"/>
      </w:tblGrid>
      <w:tr>
        <w:tblPrEx>
          <w:tblCellMar>
            <w:top w:w="0" w:type="dxa"/>
            <w:left w:w="108" w:type="dxa"/>
            <w:bottom w:w="0" w:type="dxa"/>
            <w:right w:w="108" w:type="dxa"/>
          </w:tblCellMar>
        </w:tblPrEx>
        <w:trPr>
          <w:trHeight w:val="303" w:hRule="atLeast"/>
          <w:jc w:val="center"/>
        </w:trPr>
        <w:tc>
          <w:tcPr>
            <w:tcW w:w="1265" w:type="dxa"/>
            <w:tcBorders>
              <w:top w:val="single" w:color="000000" w:sz="8" w:space="0"/>
              <w:left w:val="single" w:color="000000" w:sz="8" w:space="0"/>
              <w:bottom w:val="single" w:color="000000" w:sz="8" w:space="0"/>
              <w:right w:val="single" w:color="000000" w:sz="8" w:space="0"/>
            </w:tcBorders>
            <w:noWrap w:val="0"/>
            <w:vAlign w:val="center"/>
          </w:tcPr>
          <w:p>
            <w:pPr>
              <w:widowControl/>
              <w:spacing w:line="300" w:lineRule="exact"/>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结构形式</w:t>
            </w:r>
          </w:p>
        </w:tc>
        <w:tc>
          <w:tcPr>
            <w:tcW w:w="1489" w:type="dxa"/>
            <w:tcBorders>
              <w:top w:val="single" w:color="000000" w:sz="8" w:space="0"/>
              <w:left w:val="single" w:color="000000" w:sz="8" w:space="0"/>
              <w:bottom w:val="single" w:color="000000" w:sz="8" w:space="0"/>
              <w:right w:val="single" w:color="000000" w:sz="8" w:space="0"/>
            </w:tcBorders>
            <w:noWrap w:val="0"/>
            <w:vAlign w:val="center"/>
          </w:tcPr>
          <w:p>
            <w:pPr>
              <w:widowControl/>
              <w:spacing w:line="300" w:lineRule="exact"/>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非承重机架位置</w:t>
            </w:r>
          </w:p>
        </w:tc>
        <w:tc>
          <w:tcPr>
            <w:tcW w:w="3810" w:type="dxa"/>
            <w:tcBorders>
              <w:top w:val="single" w:color="000000" w:sz="8" w:space="0"/>
              <w:left w:val="single" w:color="000000" w:sz="8" w:space="0"/>
              <w:bottom w:val="single" w:color="000000" w:sz="8" w:space="0"/>
              <w:right w:val="single" w:color="000000" w:sz="8" w:space="0"/>
            </w:tcBorders>
            <w:noWrap w:val="0"/>
            <w:vAlign w:val="center"/>
          </w:tcPr>
          <w:p>
            <w:pPr>
              <w:widowControl/>
              <w:spacing w:line="300" w:lineRule="exact"/>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径向</w:t>
            </w:r>
          </w:p>
        </w:tc>
        <w:tc>
          <w:tcPr>
            <w:tcW w:w="1949" w:type="dxa"/>
            <w:tcBorders>
              <w:top w:val="single" w:color="000000" w:sz="8" w:space="0"/>
              <w:left w:val="single" w:color="000000" w:sz="8" w:space="0"/>
              <w:bottom w:val="single" w:color="000000" w:sz="8" w:space="0"/>
              <w:right w:val="single" w:color="000000" w:sz="8" w:space="0"/>
            </w:tcBorders>
            <w:noWrap w:val="0"/>
            <w:vAlign w:val="center"/>
          </w:tcPr>
          <w:p>
            <w:pPr>
              <w:widowControl/>
              <w:spacing w:line="300" w:lineRule="exact"/>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轴向</w:t>
            </w:r>
          </w:p>
        </w:tc>
      </w:tr>
      <w:tr>
        <w:tblPrEx>
          <w:tblCellMar>
            <w:top w:w="0" w:type="dxa"/>
            <w:left w:w="108" w:type="dxa"/>
            <w:bottom w:w="0" w:type="dxa"/>
            <w:right w:w="108" w:type="dxa"/>
          </w:tblCellMar>
        </w:tblPrEx>
        <w:trPr>
          <w:trHeight w:val="1456" w:hRule="atLeast"/>
          <w:jc w:val="center"/>
        </w:trPr>
        <w:tc>
          <w:tcPr>
            <w:tcW w:w="1265" w:type="dxa"/>
            <w:vMerge w:val="restart"/>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两导机组，上导（或下导），推力轴承在顶盖</w:t>
            </w:r>
          </w:p>
        </w:tc>
        <w:tc>
          <w:tcPr>
            <w:tcW w:w="1489"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有上导无下导</w:t>
            </w:r>
          </w:p>
        </w:tc>
        <w:tc>
          <w:tcPr>
            <w:tcW w:w="3810"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hint="default" w:ascii="Times New Roman" w:hAnsi="宋体" w:eastAsia="宋体" w:cs="Times New Roman"/>
                <w:color w:val="auto"/>
                <w:kern w:val="0"/>
                <w:sz w:val="18"/>
                <w:szCs w:val="18"/>
                <w:highlight w:val="none"/>
                <w:lang w:val="en-US" w:eastAsia="zh-CN"/>
              </w:rPr>
            </w:pPr>
            <w:r>
              <w:rPr>
                <w:rFonts w:ascii="Times New Roman" w:hAnsi="宋体" w:eastAsia="宋体" w:cs="Times New Roman"/>
                <w:color w:val="auto"/>
                <w:kern w:val="0"/>
                <w:sz w:val="18"/>
                <w:szCs w:val="18"/>
                <w:highlight w:val="none"/>
              </w:rPr>
              <w:t>（1）大于转频飞逸转频20%</w:t>
            </w:r>
          </w:p>
          <w:p>
            <w:pPr>
              <w:widowControl/>
              <w:spacing w:line="300" w:lineRule="exact"/>
              <w:textAlignment w:val="top"/>
              <w:rPr>
                <w:rFonts w:ascii="Times New Roman" w:hAnsi="宋体" w:eastAsia="宋体" w:cs="Times New Roman"/>
                <w:color w:val="auto"/>
                <w:kern w:val="0"/>
                <w:sz w:val="18"/>
                <w:szCs w:val="18"/>
                <w:highlight w:val="none"/>
              </w:rPr>
            </w:pPr>
            <w:r>
              <w:rPr>
                <w:rFonts w:ascii="Times New Roman" w:hAnsi="宋体" w:eastAsia="宋体" w:cs="Times New Roman"/>
                <w:color w:val="auto"/>
                <w:kern w:val="0"/>
                <w:sz w:val="18"/>
                <w:szCs w:val="18"/>
                <w:highlight w:val="none"/>
              </w:rPr>
              <w:t>（2）避开卡门涡频率、转频、叶片或导叶通过频率及其倍频±10%</w:t>
            </w:r>
          </w:p>
          <w:p>
            <w:pPr>
              <w:widowControl/>
              <w:spacing w:after="0" w:line="300" w:lineRule="exact"/>
              <w:ind w:firstLine="0" w:firstLineChars="0"/>
              <w:textAlignment w:val="top"/>
              <w:rPr>
                <w:rFonts w:hint="default" w:ascii="Times New Roman" w:hAnsi="宋体" w:eastAsia="宋体" w:cs="Times New Roman"/>
                <w:color w:val="auto"/>
                <w:sz w:val="18"/>
                <w:szCs w:val="18"/>
                <w:highlight w:val="none"/>
                <w:lang w:val="en-US" w:eastAsia="zh-CN"/>
              </w:rPr>
            </w:pPr>
            <w:r>
              <w:rPr>
                <w:rFonts w:ascii="Times New Roman" w:hAnsi="宋体" w:eastAsia="宋体" w:cs="Times New Roman"/>
                <w:color w:val="auto"/>
                <w:sz w:val="18"/>
                <w:szCs w:val="18"/>
                <w:highlight w:val="none"/>
              </w:rPr>
              <w:t>（</w:t>
            </w:r>
            <w:r>
              <w:rPr>
                <w:rFonts w:ascii="Times New Roman" w:hAnsi="宋体" w:eastAsia="宋体" w:cs="Times New Roman"/>
                <w:color w:val="auto"/>
                <w:kern w:val="0"/>
                <w:sz w:val="18"/>
                <w:szCs w:val="18"/>
                <w:highlight w:val="none"/>
              </w:rPr>
              <w:t>3</w:t>
            </w:r>
            <w:r>
              <w:rPr>
                <w:rFonts w:ascii="Times New Roman" w:hAnsi="宋体" w:eastAsia="宋体" w:cs="Times New Roman"/>
                <w:color w:val="auto"/>
                <w:sz w:val="18"/>
                <w:szCs w:val="18"/>
                <w:highlight w:val="none"/>
              </w:rPr>
              <w:t>）电磁极振频率（</w:t>
            </w:r>
            <w:r>
              <w:rPr>
                <w:rFonts w:ascii="Times New Roman" w:hAnsi="宋体" w:eastAsia="宋体" w:cs="Times New Roman"/>
                <w:color w:val="auto"/>
                <w:kern w:val="0"/>
                <w:sz w:val="18"/>
                <w:szCs w:val="18"/>
                <w:highlight w:val="none"/>
              </w:rPr>
              <w:t>50Hz</w:t>
            </w:r>
            <w:r>
              <w:rPr>
                <w:rFonts w:ascii="Times New Roman" w:hAnsi="宋体" w:eastAsia="宋体" w:cs="Times New Roman"/>
                <w:color w:val="auto"/>
                <w:sz w:val="18"/>
                <w:szCs w:val="18"/>
                <w:highlight w:val="none"/>
              </w:rPr>
              <w:t>、</w:t>
            </w:r>
            <w:r>
              <w:rPr>
                <w:rFonts w:ascii="Times New Roman" w:hAnsi="宋体" w:eastAsia="宋体" w:cs="Times New Roman"/>
                <w:color w:val="auto"/>
                <w:kern w:val="0"/>
                <w:sz w:val="18"/>
                <w:szCs w:val="18"/>
                <w:highlight w:val="none"/>
              </w:rPr>
              <w:t>100Hz</w:t>
            </w:r>
            <w:r>
              <w:rPr>
                <w:rFonts w:ascii="Times New Roman" w:hAnsi="宋体" w:eastAsia="宋体" w:cs="Times New Roman"/>
                <w:color w:val="auto"/>
                <w:sz w:val="18"/>
                <w:szCs w:val="18"/>
                <w:highlight w:val="none"/>
              </w:rPr>
              <w:t>）避开</w:t>
            </w:r>
            <w:r>
              <w:rPr>
                <w:rFonts w:ascii="Times New Roman" w:hAnsi="宋体" w:eastAsia="宋体" w:cs="Times New Roman"/>
                <w:color w:val="auto"/>
                <w:kern w:val="0"/>
                <w:sz w:val="18"/>
                <w:szCs w:val="18"/>
                <w:highlight w:val="none"/>
              </w:rPr>
              <w:t>±10%</w:t>
            </w:r>
          </w:p>
        </w:tc>
        <w:tc>
          <w:tcPr>
            <w:tcW w:w="1949"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sz w:val="18"/>
                <w:szCs w:val="18"/>
                <w:highlight w:val="none"/>
              </w:rPr>
              <w:t>电磁极振频率（</w:t>
            </w:r>
            <w:r>
              <w:rPr>
                <w:rFonts w:ascii="Times New Roman" w:hAnsi="Times New Roman" w:eastAsia="宋体" w:cs="Times New Roman"/>
                <w:color w:val="auto"/>
                <w:sz w:val="18"/>
                <w:szCs w:val="18"/>
                <w:highlight w:val="none"/>
              </w:rPr>
              <w:t>50Hz</w:t>
            </w:r>
            <w:r>
              <w:rPr>
                <w:rFonts w:ascii="Times New Roman" w:hAnsi="宋体" w:eastAsia="宋体" w:cs="Times New Roman"/>
                <w:color w:val="auto"/>
                <w:sz w:val="18"/>
                <w:szCs w:val="18"/>
                <w:highlight w:val="none"/>
              </w:rPr>
              <w:t>、</w:t>
            </w:r>
            <w:r>
              <w:rPr>
                <w:rFonts w:ascii="Times New Roman" w:hAnsi="Times New Roman" w:eastAsia="宋体" w:cs="Times New Roman"/>
                <w:color w:val="auto"/>
                <w:sz w:val="18"/>
                <w:szCs w:val="18"/>
                <w:highlight w:val="none"/>
              </w:rPr>
              <w:t>100Hz</w:t>
            </w:r>
            <w:r>
              <w:rPr>
                <w:rFonts w:ascii="Times New Roman" w:hAnsi="宋体" w:eastAsia="宋体" w:cs="Times New Roman"/>
                <w:color w:val="auto"/>
                <w:sz w:val="18"/>
                <w:szCs w:val="18"/>
                <w:highlight w:val="none"/>
              </w:rPr>
              <w:t>）避开</w:t>
            </w:r>
            <w:r>
              <w:rPr>
                <w:rFonts w:ascii="Times New Roman" w:hAnsi="Times New Roman" w:eastAsia="宋体" w:cs="Times New Roman"/>
                <w:color w:val="auto"/>
                <w:sz w:val="18"/>
                <w:szCs w:val="18"/>
                <w:highlight w:val="none"/>
              </w:rPr>
              <w:t>±10%</w:t>
            </w:r>
          </w:p>
        </w:tc>
      </w:tr>
      <w:tr>
        <w:tblPrEx>
          <w:tblCellMar>
            <w:top w:w="0" w:type="dxa"/>
            <w:left w:w="108" w:type="dxa"/>
            <w:bottom w:w="0" w:type="dxa"/>
            <w:right w:w="108" w:type="dxa"/>
          </w:tblCellMar>
        </w:tblPrEx>
        <w:trPr>
          <w:trHeight w:val="1418" w:hRule="atLeast"/>
          <w:jc w:val="center"/>
        </w:trPr>
        <w:tc>
          <w:tcPr>
            <w:tcW w:w="1265" w:type="dxa"/>
            <w:vMerge w:val="continue"/>
            <w:tcBorders>
              <w:top w:val="nil"/>
              <w:left w:val="single" w:color="000000" w:sz="8" w:space="0"/>
              <w:bottom w:val="single" w:color="000000" w:sz="8" w:space="0"/>
              <w:right w:val="single" w:color="000000" w:sz="8" w:space="0"/>
            </w:tcBorders>
            <w:noWrap w:val="0"/>
            <w:vAlign w:val="center"/>
          </w:tcPr>
          <w:p>
            <w:pPr>
              <w:spacing w:line="300" w:lineRule="exact"/>
              <w:rPr>
                <w:rFonts w:ascii="Times New Roman" w:hAnsi="Times New Roman" w:eastAsia="宋体" w:cs="Times New Roman"/>
                <w:color w:val="auto"/>
                <w:sz w:val="18"/>
                <w:szCs w:val="18"/>
                <w:highlight w:val="none"/>
              </w:rPr>
            </w:pPr>
          </w:p>
        </w:tc>
        <w:tc>
          <w:tcPr>
            <w:tcW w:w="1489"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无上导有下导</w:t>
            </w:r>
          </w:p>
        </w:tc>
        <w:tc>
          <w:tcPr>
            <w:tcW w:w="3810"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kern w:val="0"/>
                <w:sz w:val="18"/>
                <w:szCs w:val="18"/>
                <w:highlight w:val="none"/>
              </w:rPr>
            </w:pPr>
            <w:r>
              <w:rPr>
                <w:rFonts w:ascii="Times New Roman" w:hAnsi="宋体"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1</w:t>
            </w:r>
            <w:r>
              <w:rPr>
                <w:rFonts w:ascii="Times New Roman" w:hAnsi="宋体" w:eastAsia="宋体" w:cs="Times New Roman"/>
                <w:color w:val="auto"/>
                <w:kern w:val="0"/>
                <w:sz w:val="18"/>
                <w:szCs w:val="18"/>
                <w:highlight w:val="none"/>
              </w:rPr>
              <w:t>）大于机组飞逸转频</w:t>
            </w:r>
            <w:r>
              <w:rPr>
                <w:rFonts w:ascii="Times New Roman" w:hAnsi="Times New Roman" w:eastAsia="宋体" w:cs="Times New Roman"/>
                <w:color w:val="auto"/>
                <w:kern w:val="0"/>
                <w:sz w:val="18"/>
                <w:szCs w:val="18"/>
                <w:highlight w:val="none"/>
              </w:rPr>
              <w:t>20%</w:t>
            </w:r>
          </w:p>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2</w:t>
            </w:r>
            <w:r>
              <w:rPr>
                <w:rFonts w:ascii="Times New Roman" w:hAnsi="宋体" w:eastAsia="宋体" w:cs="Times New Roman"/>
                <w:color w:val="auto"/>
                <w:kern w:val="0"/>
                <w:sz w:val="18"/>
                <w:szCs w:val="18"/>
                <w:highlight w:val="none"/>
              </w:rPr>
              <w:t>）避开卡门涡频率、转频、叶片或导叶通过频率及其倍频</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w:t>
            </w:r>
          </w:p>
          <w:p>
            <w:pPr>
              <w:widowControl/>
              <w:spacing w:after="0" w:line="300" w:lineRule="exact"/>
              <w:ind w:firstLine="0" w:firstLineChars="0"/>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sz w:val="18"/>
                <w:szCs w:val="18"/>
                <w:highlight w:val="none"/>
              </w:rPr>
              <w:t>（</w:t>
            </w:r>
            <w:r>
              <w:rPr>
                <w:rFonts w:ascii="Times New Roman" w:hAnsi="Times New Roman" w:eastAsia="宋体" w:cs="Times New Roman"/>
                <w:color w:val="auto"/>
                <w:sz w:val="18"/>
                <w:szCs w:val="18"/>
                <w:highlight w:val="none"/>
              </w:rPr>
              <w:t>3</w:t>
            </w:r>
            <w:r>
              <w:rPr>
                <w:rFonts w:ascii="Times New Roman" w:hAnsi="宋体" w:eastAsia="宋体" w:cs="Times New Roman"/>
                <w:color w:val="auto"/>
                <w:sz w:val="18"/>
                <w:szCs w:val="18"/>
                <w:highlight w:val="none"/>
              </w:rPr>
              <w:t>）电磁极振频率（</w:t>
            </w:r>
            <w:r>
              <w:rPr>
                <w:rFonts w:ascii="Times New Roman" w:hAnsi="Times New Roman" w:eastAsia="宋体" w:cs="Times New Roman"/>
                <w:color w:val="auto"/>
                <w:sz w:val="18"/>
                <w:szCs w:val="18"/>
                <w:highlight w:val="none"/>
              </w:rPr>
              <w:t>50Hz</w:t>
            </w:r>
            <w:r>
              <w:rPr>
                <w:rFonts w:ascii="Times New Roman" w:hAnsi="宋体" w:eastAsia="宋体" w:cs="Times New Roman"/>
                <w:color w:val="auto"/>
                <w:sz w:val="18"/>
                <w:szCs w:val="18"/>
                <w:highlight w:val="none"/>
              </w:rPr>
              <w:t>、</w:t>
            </w:r>
            <w:r>
              <w:rPr>
                <w:rFonts w:ascii="Times New Roman" w:hAnsi="Times New Roman" w:eastAsia="宋体" w:cs="Times New Roman"/>
                <w:color w:val="auto"/>
                <w:sz w:val="18"/>
                <w:szCs w:val="18"/>
                <w:highlight w:val="none"/>
              </w:rPr>
              <w:t>100Hz</w:t>
            </w:r>
            <w:r>
              <w:rPr>
                <w:rFonts w:ascii="Times New Roman" w:hAnsi="宋体" w:eastAsia="宋体" w:cs="Times New Roman"/>
                <w:color w:val="auto"/>
                <w:sz w:val="18"/>
                <w:szCs w:val="18"/>
                <w:highlight w:val="none"/>
              </w:rPr>
              <w:t>）避开</w:t>
            </w:r>
            <w:r>
              <w:rPr>
                <w:rFonts w:ascii="Times New Roman" w:hAnsi="Times New Roman" w:eastAsia="宋体" w:cs="Times New Roman"/>
                <w:color w:val="auto"/>
                <w:sz w:val="18"/>
                <w:szCs w:val="18"/>
                <w:highlight w:val="none"/>
              </w:rPr>
              <w:t>±10%</w:t>
            </w:r>
          </w:p>
        </w:tc>
        <w:tc>
          <w:tcPr>
            <w:tcW w:w="1949"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避开卡门涡频率、转频、叶片或导叶通过频率及其倍频</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w:t>
            </w:r>
          </w:p>
        </w:tc>
      </w:tr>
      <w:tr>
        <w:tblPrEx>
          <w:tblCellMar>
            <w:top w:w="0" w:type="dxa"/>
            <w:left w:w="108" w:type="dxa"/>
            <w:bottom w:w="0" w:type="dxa"/>
            <w:right w:w="108" w:type="dxa"/>
          </w:tblCellMar>
        </w:tblPrEx>
        <w:trPr>
          <w:trHeight w:val="1368" w:hRule="atLeast"/>
          <w:jc w:val="center"/>
        </w:trPr>
        <w:tc>
          <w:tcPr>
            <w:tcW w:w="1265"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三导机组</w:t>
            </w:r>
          </w:p>
        </w:tc>
        <w:tc>
          <w:tcPr>
            <w:tcW w:w="1489"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悬式机组，非承重机架为下机架</w:t>
            </w:r>
          </w:p>
        </w:tc>
        <w:tc>
          <w:tcPr>
            <w:tcW w:w="3810"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kern w:val="0"/>
                <w:sz w:val="18"/>
                <w:szCs w:val="18"/>
                <w:highlight w:val="none"/>
              </w:rPr>
            </w:pPr>
            <w:r>
              <w:rPr>
                <w:rFonts w:ascii="Times New Roman" w:hAnsi="宋体"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1</w:t>
            </w:r>
            <w:r>
              <w:rPr>
                <w:rFonts w:ascii="Times New Roman" w:hAnsi="宋体" w:eastAsia="宋体" w:cs="Times New Roman"/>
                <w:color w:val="auto"/>
                <w:kern w:val="0"/>
                <w:sz w:val="18"/>
                <w:szCs w:val="18"/>
                <w:highlight w:val="none"/>
              </w:rPr>
              <w:t>）大于转频飞逸转频</w:t>
            </w:r>
            <w:r>
              <w:rPr>
                <w:rFonts w:ascii="Times New Roman" w:hAnsi="Times New Roman" w:eastAsia="宋体" w:cs="Times New Roman"/>
                <w:color w:val="auto"/>
                <w:kern w:val="0"/>
                <w:sz w:val="18"/>
                <w:szCs w:val="18"/>
                <w:highlight w:val="none"/>
              </w:rPr>
              <w:t>20%</w:t>
            </w:r>
          </w:p>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2</w:t>
            </w:r>
            <w:r>
              <w:rPr>
                <w:rFonts w:ascii="Times New Roman" w:hAnsi="宋体" w:eastAsia="宋体" w:cs="Times New Roman"/>
                <w:color w:val="auto"/>
                <w:kern w:val="0"/>
                <w:sz w:val="18"/>
                <w:szCs w:val="18"/>
                <w:highlight w:val="none"/>
              </w:rPr>
              <w:t>）避开卡门涡频率、转频、叶片或导叶通过频率及其倍频</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w:t>
            </w:r>
          </w:p>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3</w:t>
            </w:r>
            <w:r>
              <w:rPr>
                <w:rFonts w:ascii="Times New Roman" w:hAnsi="宋体" w:eastAsia="宋体" w:cs="Times New Roman"/>
                <w:color w:val="auto"/>
                <w:kern w:val="0"/>
                <w:sz w:val="18"/>
                <w:szCs w:val="18"/>
                <w:highlight w:val="none"/>
              </w:rPr>
              <w:t>）电磁极振频率（</w:t>
            </w:r>
            <w:r>
              <w:rPr>
                <w:rFonts w:ascii="Times New Roman" w:hAnsi="Times New Roman" w:eastAsia="宋体" w:cs="Times New Roman"/>
                <w:color w:val="auto"/>
                <w:sz w:val="18"/>
                <w:szCs w:val="18"/>
                <w:highlight w:val="none"/>
              </w:rPr>
              <w:t>50Hz</w:t>
            </w:r>
            <w:r>
              <w:rPr>
                <w:rFonts w:ascii="Times New Roman" w:hAnsi="宋体"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100Hz</w:t>
            </w:r>
            <w:r>
              <w:rPr>
                <w:rFonts w:ascii="Times New Roman" w:hAnsi="宋体" w:eastAsia="宋体" w:cs="Times New Roman"/>
                <w:color w:val="auto"/>
                <w:kern w:val="0"/>
                <w:sz w:val="18"/>
                <w:szCs w:val="18"/>
                <w:highlight w:val="none"/>
              </w:rPr>
              <w:t>）避开</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w:t>
            </w:r>
          </w:p>
        </w:tc>
        <w:tc>
          <w:tcPr>
            <w:tcW w:w="1949" w:type="dxa"/>
            <w:tcBorders>
              <w:top w:val="nil"/>
              <w:left w:val="single" w:color="000000" w:sz="8" w:space="0"/>
              <w:bottom w:val="single" w:color="000000" w:sz="8" w:space="0"/>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避开卡门涡频率、转频、叶片或导叶通过频率及其倍频</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w:t>
            </w:r>
          </w:p>
        </w:tc>
      </w:tr>
      <w:tr>
        <w:tblPrEx>
          <w:tblCellMar>
            <w:top w:w="0" w:type="dxa"/>
            <w:left w:w="108" w:type="dxa"/>
            <w:bottom w:w="0" w:type="dxa"/>
            <w:right w:w="108" w:type="dxa"/>
          </w:tblCellMar>
        </w:tblPrEx>
        <w:trPr>
          <w:trHeight w:val="1076" w:hRule="atLeast"/>
          <w:jc w:val="center"/>
        </w:trPr>
        <w:tc>
          <w:tcPr>
            <w:tcW w:w="1265" w:type="dxa"/>
            <w:tcBorders>
              <w:top w:val="nil"/>
              <w:left w:val="single" w:color="000000" w:sz="8" w:space="0"/>
              <w:bottom w:val="nil"/>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三导机组</w:t>
            </w:r>
          </w:p>
        </w:tc>
        <w:tc>
          <w:tcPr>
            <w:tcW w:w="1489" w:type="dxa"/>
            <w:tcBorders>
              <w:top w:val="nil"/>
              <w:left w:val="single" w:color="000000" w:sz="8" w:space="0"/>
              <w:bottom w:val="nil"/>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伞式机组，非承重机架为上机架</w:t>
            </w:r>
          </w:p>
        </w:tc>
        <w:tc>
          <w:tcPr>
            <w:tcW w:w="3810" w:type="dxa"/>
            <w:tcBorders>
              <w:top w:val="nil"/>
              <w:left w:val="single" w:color="000000" w:sz="8" w:space="0"/>
              <w:bottom w:val="nil"/>
              <w:right w:val="single" w:color="000000" w:sz="8" w:space="0"/>
            </w:tcBorders>
            <w:noWrap w:val="0"/>
            <w:vAlign w:val="center"/>
          </w:tcPr>
          <w:p>
            <w:pPr>
              <w:widowControl/>
              <w:numPr>
                <w:ilvl w:val="-1"/>
                <w:numId w:val="0"/>
              </w:numPr>
              <w:spacing w:line="300" w:lineRule="exact"/>
              <w:textAlignment w:val="top"/>
              <w:rPr>
                <w:rFonts w:ascii="Times New Roman" w:hAnsi="Times New Roman" w:eastAsia="宋体" w:cs="Times New Roman"/>
                <w:color w:val="auto"/>
                <w:kern w:val="0"/>
                <w:sz w:val="18"/>
                <w:szCs w:val="18"/>
                <w:highlight w:val="none"/>
              </w:rPr>
            </w:pPr>
            <w:r>
              <w:rPr>
                <w:rFonts w:ascii="Times New Roman" w:hAnsi="宋体"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1</w:t>
            </w:r>
            <w:r>
              <w:rPr>
                <w:rFonts w:ascii="Times New Roman" w:hAnsi="宋体" w:eastAsia="宋体" w:cs="Times New Roman"/>
                <w:color w:val="auto"/>
                <w:kern w:val="0"/>
                <w:sz w:val="18"/>
                <w:szCs w:val="18"/>
                <w:highlight w:val="none"/>
              </w:rPr>
              <w:t>）大于转频飞逸转频</w:t>
            </w:r>
            <w:r>
              <w:rPr>
                <w:rFonts w:ascii="Times New Roman" w:hAnsi="Times New Roman" w:eastAsia="宋体" w:cs="Times New Roman"/>
                <w:color w:val="auto"/>
                <w:kern w:val="0"/>
                <w:sz w:val="18"/>
                <w:szCs w:val="18"/>
                <w:highlight w:val="none"/>
              </w:rPr>
              <w:t>20%</w:t>
            </w:r>
          </w:p>
          <w:p>
            <w:pPr>
              <w:widowControl/>
              <w:numPr>
                <w:ilvl w:val="0"/>
                <w:numId w:val="15"/>
              </w:numPr>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电磁极振频率（</w:t>
            </w:r>
            <w:r>
              <w:rPr>
                <w:rFonts w:ascii="Times New Roman" w:hAnsi="Times New Roman" w:eastAsia="宋体" w:cs="Times New Roman"/>
                <w:color w:val="auto"/>
                <w:sz w:val="18"/>
                <w:szCs w:val="18"/>
                <w:highlight w:val="none"/>
              </w:rPr>
              <w:t>50Hz</w:t>
            </w:r>
            <w:r>
              <w:rPr>
                <w:rFonts w:ascii="Times New Roman" w:hAnsi="宋体"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100Hz</w:t>
            </w:r>
            <w:r>
              <w:rPr>
                <w:rFonts w:ascii="Times New Roman" w:hAnsi="宋体" w:eastAsia="宋体" w:cs="Times New Roman"/>
                <w:color w:val="auto"/>
                <w:kern w:val="0"/>
                <w:sz w:val="18"/>
                <w:szCs w:val="18"/>
                <w:highlight w:val="none"/>
              </w:rPr>
              <w:t>）避开</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w:t>
            </w:r>
          </w:p>
        </w:tc>
        <w:tc>
          <w:tcPr>
            <w:tcW w:w="1949" w:type="dxa"/>
            <w:tcBorders>
              <w:top w:val="nil"/>
              <w:left w:val="single" w:color="000000" w:sz="8" w:space="0"/>
              <w:bottom w:val="nil"/>
              <w:right w:val="single" w:color="000000" w:sz="8" w:space="0"/>
            </w:tcBorders>
            <w:noWrap w:val="0"/>
            <w:vAlign w:val="center"/>
          </w:tcPr>
          <w:p>
            <w:pPr>
              <w:widowControl/>
              <w:spacing w:line="300" w:lineRule="exact"/>
              <w:textAlignment w:val="top"/>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电磁极振频率（</w:t>
            </w:r>
            <w:r>
              <w:rPr>
                <w:rFonts w:ascii="Times New Roman" w:hAnsi="Times New Roman" w:eastAsia="宋体" w:cs="Times New Roman"/>
                <w:color w:val="auto"/>
                <w:sz w:val="18"/>
                <w:szCs w:val="18"/>
                <w:highlight w:val="none"/>
              </w:rPr>
              <w:t>50Hz</w:t>
            </w:r>
            <w:r>
              <w:rPr>
                <w:rFonts w:ascii="Times New Roman" w:hAnsi="宋体"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100Hz</w:t>
            </w:r>
            <w:r>
              <w:rPr>
                <w:rFonts w:ascii="Times New Roman" w:hAnsi="宋体" w:eastAsia="宋体" w:cs="Times New Roman"/>
                <w:color w:val="auto"/>
                <w:kern w:val="0"/>
                <w:sz w:val="18"/>
                <w:szCs w:val="18"/>
                <w:highlight w:val="none"/>
              </w:rPr>
              <w:t>）避开</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kern w:val="0"/>
                <w:sz w:val="18"/>
                <w:szCs w:val="18"/>
                <w:highlight w:val="none"/>
              </w:rPr>
              <w:t>10%</w:t>
            </w:r>
          </w:p>
        </w:tc>
      </w:tr>
    </w:tbl>
    <w:p>
      <w:pPr>
        <w:tabs>
          <w:tab w:val="left" w:pos="390"/>
        </w:tabs>
        <w:spacing w:line="288" w:lineRule="auto"/>
        <w:ind w:firstLine="360" w:firstLineChars="200"/>
        <w:jc w:val="left"/>
        <w:rPr>
          <w:rFonts w:ascii="Times New Roman" w:hAnsi="宋体" w:eastAsia="宋体" w:cs="Times New Roman"/>
          <w:color w:val="auto"/>
          <w:sz w:val="18"/>
          <w:szCs w:val="18"/>
          <w:highlight w:val="none"/>
        </w:rPr>
      </w:pPr>
      <w:r>
        <w:rPr>
          <w:rFonts w:ascii="Times New Roman" w:hAnsi="宋体" w:eastAsia="宋体" w:cs="Times New Roman"/>
          <w:color w:val="auto"/>
          <w:sz w:val="18"/>
          <w:szCs w:val="18"/>
          <w:highlight w:val="none"/>
        </w:rPr>
        <w:t>注</w:t>
      </w:r>
      <w:r>
        <w:rPr>
          <w:rFonts w:hint="eastAsia" w:ascii="Times New Roman" w:hAnsi="宋体" w:cs="Times New Roman"/>
          <w:color w:val="auto"/>
          <w:sz w:val="18"/>
          <w:szCs w:val="18"/>
          <w:highlight w:val="none"/>
          <w:lang w:val="en-US" w:eastAsia="zh-CN"/>
        </w:rPr>
        <w:t>1</w:t>
      </w:r>
      <w:r>
        <w:rPr>
          <w:rFonts w:ascii="Times New Roman" w:hAnsi="宋体" w:eastAsia="宋体" w:cs="Times New Roman"/>
          <w:color w:val="auto"/>
          <w:sz w:val="18"/>
          <w:szCs w:val="18"/>
          <w:highlight w:val="none"/>
        </w:rPr>
        <w:t>：根据水电机组结构特殊性，</w:t>
      </w:r>
      <w:r>
        <w:rPr>
          <w:rFonts w:hint="eastAsia" w:ascii="Times New Roman" w:hAnsi="宋体" w:cs="Times New Roman"/>
          <w:color w:val="auto"/>
          <w:sz w:val="18"/>
          <w:szCs w:val="18"/>
          <w:highlight w:val="none"/>
          <w:lang w:val="en-US" w:eastAsia="zh-CN"/>
        </w:rPr>
        <w:t>尾水涡带频率一般为机组转频的1/6~1/2，与模态测试分析的振动频率相差很大，轴承机架的共振风险分析中可以不予考虑</w:t>
      </w:r>
      <w:r>
        <w:rPr>
          <w:rFonts w:ascii="Times New Roman" w:hAnsi="宋体" w:eastAsia="宋体" w:cs="Times New Roman"/>
          <w:color w:val="auto"/>
          <w:sz w:val="18"/>
          <w:szCs w:val="18"/>
          <w:highlight w:val="none"/>
        </w:rPr>
        <w:t>。</w:t>
      </w:r>
    </w:p>
    <w:p>
      <w:pPr>
        <w:tabs>
          <w:tab w:val="left" w:pos="390"/>
        </w:tabs>
        <w:spacing w:line="288" w:lineRule="auto"/>
        <w:ind w:firstLine="360" w:firstLineChars="200"/>
        <w:jc w:val="left"/>
        <w:rPr>
          <w:rFonts w:hint="default" w:ascii="Times New Roman" w:hAnsi="宋体" w:eastAsia="宋体" w:cs="Times New Roman"/>
          <w:color w:val="auto"/>
          <w:sz w:val="18"/>
          <w:szCs w:val="18"/>
          <w:highlight w:val="none"/>
          <w:lang w:val="en-US" w:eastAsia="zh-CN"/>
        </w:rPr>
        <w:sectPr>
          <w:pgSz w:w="11906" w:h="16838"/>
          <w:pgMar w:top="1417" w:right="1134" w:bottom="1134" w:left="1417" w:header="851" w:footer="992" w:gutter="0"/>
          <w:pgNumType w:fmt="decimal"/>
          <w:cols w:space="720" w:num="1"/>
          <w:docGrid w:type="lines" w:linePitch="312" w:charSpace="0"/>
        </w:sectPr>
      </w:pPr>
      <w:r>
        <w:rPr>
          <w:rFonts w:hint="eastAsia" w:ascii="Times New Roman" w:hAnsi="宋体" w:cs="Times New Roman"/>
          <w:color w:val="auto"/>
          <w:sz w:val="18"/>
          <w:szCs w:val="18"/>
          <w:highlight w:val="none"/>
          <w:lang w:val="en-US" w:eastAsia="zh-CN"/>
        </w:rPr>
        <w:t>注2：抽水蓄能机组需综合研判。</w:t>
      </w:r>
    </w:p>
    <w:p>
      <w:pPr>
        <w:pageBreakBefore/>
        <w:spacing w:before="640" w:after="280"/>
        <w:jc w:val="center"/>
        <w:outlineLvl w:val="0"/>
        <w:rPr>
          <w:rFonts w:ascii="黑体" w:hAnsi="黑体" w:eastAsia="黑体" w:cs="黑体"/>
          <w:bCs/>
          <w:color w:val="auto"/>
          <w:szCs w:val="21"/>
          <w:highlight w:val="none"/>
        </w:rPr>
      </w:pPr>
      <w:bookmarkStart w:id="125" w:name="_Toc21847"/>
      <w:bookmarkStart w:id="126" w:name="_Toc10690"/>
      <w:bookmarkStart w:id="127" w:name="_Toc5136"/>
      <w:bookmarkStart w:id="128" w:name="_Toc2406"/>
      <w:bookmarkStart w:id="129" w:name="_Toc24771"/>
      <w:bookmarkStart w:id="130" w:name="_Toc14606"/>
      <w:bookmarkStart w:id="131" w:name="_Toc18759"/>
      <w:r>
        <w:rPr>
          <w:rFonts w:hint="eastAsia" w:ascii="黑体" w:hAnsi="黑体" w:eastAsia="黑体" w:cs="黑体"/>
          <w:bCs/>
          <w:color w:val="auto"/>
          <w:szCs w:val="21"/>
          <w:highlight w:val="none"/>
        </w:rPr>
        <w:t>附录A</w:t>
      </w:r>
      <w:bookmarkEnd w:id="125"/>
      <w:bookmarkEnd w:id="126"/>
      <w:bookmarkEnd w:id="127"/>
      <w:bookmarkEnd w:id="128"/>
      <w:bookmarkEnd w:id="129"/>
    </w:p>
    <w:p>
      <w:pPr>
        <w:pStyle w:val="18"/>
        <w:spacing w:after="480" w:line="323" w:lineRule="exact"/>
        <w:ind w:firstLine="0"/>
        <w:jc w:val="center"/>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（资料性）</w:t>
      </w:r>
      <w:r>
        <w:rPr>
          <w:rFonts w:hint="eastAsia" w:ascii="黑体" w:hAnsi="黑体" w:eastAsia="黑体" w:cs="黑体"/>
          <w:bCs/>
          <w:color w:val="auto"/>
          <w:sz w:val="21"/>
          <w:szCs w:val="21"/>
          <w:highlight w:val="none"/>
        </w:rPr>
        <w:br w:type="textWrapping"/>
      </w:r>
      <w:r>
        <w:rPr>
          <w:rFonts w:hint="eastAsia" w:ascii="黑体" w:hAnsi="黑体" w:eastAsia="黑体" w:cs="黑体"/>
          <w:bCs/>
          <w:color w:val="auto"/>
          <w:sz w:val="21"/>
          <w:szCs w:val="21"/>
          <w:highlight w:val="none"/>
        </w:rPr>
        <w:t>模态试验基本原理</w:t>
      </w:r>
      <w:bookmarkEnd w:id="130"/>
      <w:bookmarkEnd w:id="131"/>
    </w:p>
    <w:p>
      <w:pPr>
        <w:pStyle w:val="19"/>
        <w:numPr>
          <w:ilvl w:val="0"/>
          <w:numId w:val="16"/>
        </w:numPr>
        <w:spacing w:beforeLines="100" w:afterLines="100"/>
        <w:ind w:left="6" w:hanging="6"/>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模态试验基本原理</w:t>
      </w:r>
    </w:p>
    <w:p>
      <w:pPr>
        <w:pStyle w:val="18"/>
        <w:spacing w:after="0" w:line="240" w:lineRule="auto"/>
        <w:ind w:firstLine="420" w:firstLineChars="200"/>
        <w:rPr>
          <w:rFonts w:ascii="Times New Roman" w:hAnsi="Times New Roman" w:cs="Times New Roman"/>
          <w:color w:val="auto"/>
          <w:sz w:val="21"/>
          <w:szCs w:val="21"/>
          <w:highlight w:val="none"/>
        </w:rPr>
      </w:pPr>
      <w:r>
        <w:rPr>
          <w:rFonts w:ascii="Times New Roman" w:cs="Times New Roman"/>
          <w:color w:val="auto"/>
          <w:sz w:val="21"/>
          <w:szCs w:val="21"/>
          <w:highlight w:val="none"/>
        </w:rPr>
        <w:t>所谓模态试验分析就是为确定系统模态参数所做的振动试验分析。模态参数识别方法大体上可分为时域法和频域法两种。时域法是一种从时域响应数据中直接识别模态参数的方法；频域法则是在测量频响函数的基础上，利用最小二乘法估计获取模态参数的方法。</w:t>
      </w:r>
    </w:p>
    <w:p>
      <w:pPr>
        <w:pStyle w:val="18"/>
        <w:spacing w:after="0" w:line="240" w:lineRule="auto"/>
        <w:ind w:firstLine="420" w:firstLineChars="200"/>
        <w:rPr>
          <w:rFonts w:ascii="Times New Roman" w:hAnsi="Times New Roman" w:cs="Times New Roman"/>
          <w:color w:val="auto"/>
          <w:sz w:val="21"/>
          <w:szCs w:val="21"/>
          <w:highlight w:val="none"/>
        </w:rPr>
      </w:pPr>
      <w:r>
        <w:rPr>
          <w:rFonts w:ascii="Times New Roman" w:cs="Times New Roman"/>
          <w:color w:val="auto"/>
          <w:sz w:val="21"/>
          <w:szCs w:val="21"/>
          <w:highlight w:val="none"/>
        </w:rPr>
        <w:t>水轮发电机</w:t>
      </w:r>
      <w:r>
        <w:rPr>
          <w:rFonts w:hint="eastAsia" w:ascii="Times New Roman" w:cs="Times New Roman"/>
          <w:color w:val="auto"/>
          <w:sz w:val="21"/>
          <w:szCs w:val="21"/>
          <w:highlight w:val="none"/>
          <w:lang w:eastAsia="zh-CN"/>
        </w:rPr>
        <w:t>非承重</w:t>
      </w:r>
      <w:r>
        <w:rPr>
          <w:rFonts w:hint="eastAsia" w:ascii="Times New Roman" w:cs="Times New Roman"/>
          <w:color w:val="auto"/>
          <w:sz w:val="21"/>
          <w:szCs w:val="21"/>
          <w:highlight w:val="none"/>
          <w:lang w:val="en-US" w:eastAsia="zh-CN"/>
        </w:rPr>
        <w:t>机</w:t>
      </w:r>
      <w:r>
        <w:rPr>
          <w:rFonts w:ascii="Times New Roman" w:cs="Times New Roman"/>
          <w:color w:val="auto"/>
          <w:sz w:val="21"/>
          <w:szCs w:val="21"/>
          <w:highlight w:val="none"/>
        </w:rPr>
        <w:t>架模态试验方法的基本原理是通过试验获取激励输入和响应输出数据，根据结构试验数学模型与试验测量值之间的拟合，辨识得到结构模态参数，即系统的固有频率、阻尼比和模态振型等。模态试验基本原理图见图</w:t>
      </w:r>
      <w:r>
        <w:rPr>
          <w:rFonts w:ascii="Times New Roman" w:hAnsi="Times New Roman" w:cs="Times New Roman"/>
          <w:color w:val="auto"/>
          <w:sz w:val="21"/>
          <w:szCs w:val="21"/>
          <w:highlight w:val="none"/>
        </w:rPr>
        <w:t>A.1</w:t>
      </w:r>
      <w:r>
        <w:rPr>
          <w:rFonts w:ascii="Times New Roman" w:cs="Times New Roman"/>
          <w:color w:val="auto"/>
          <w:sz w:val="21"/>
          <w:szCs w:val="21"/>
          <w:highlight w:val="none"/>
        </w:rPr>
        <w:t>。</w:t>
      </w:r>
    </w:p>
    <w:p>
      <w:pPr>
        <w:pStyle w:val="18"/>
        <w:spacing w:after="0" w:line="240" w:lineRule="auto"/>
        <w:ind w:firstLine="0"/>
        <w:jc w:val="center"/>
        <w:textAlignment w:val="center"/>
        <w:rPr>
          <w:rFonts w:ascii="Times New Roman" w:hAnsi="Times New Roman" w:cs="Times New Roman"/>
          <w:color w:val="auto"/>
          <w:highlight w:val="none"/>
        </w:rPr>
      </w:pPr>
      <w:r>
        <w:drawing>
          <wp:inline distT="0" distB="0" distL="114300" distR="114300">
            <wp:extent cx="4571365" cy="3239770"/>
            <wp:effectExtent l="0" t="0" r="635" b="635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0"/>
                    <a:stretch>
                      <a:fillRect/>
                    </a:stretch>
                  </pic:blipFill>
                  <pic:spPr>
                    <a:xfrm>
                      <a:off x="0" y="0"/>
                      <a:ext cx="4571365" cy="3239770"/>
                    </a:xfrm>
                    <a:prstGeom prst="rect">
                      <a:avLst/>
                    </a:prstGeom>
                    <a:noFill/>
                    <a:ln>
                      <a:noFill/>
                    </a:ln>
                  </pic:spPr>
                </pic:pic>
              </a:graphicData>
            </a:graphic>
          </wp:inline>
        </w:drawing>
      </w:r>
    </w:p>
    <w:p>
      <w:pPr>
        <w:pStyle w:val="18"/>
        <w:spacing w:after="0" w:line="240" w:lineRule="auto"/>
        <w:ind w:firstLine="0"/>
        <w:jc w:val="center"/>
        <w:textAlignment w:val="center"/>
        <w:rPr>
          <w:rFonts w:ascii="Times New Roman" w:hAnsi="Times New Roman" w:cs="Times New Roman"/>
          <w:color w:val="auto"/>
          <w:highlight w:val="none"/>
        </w:rPr>
      </w:pPr>
      <w:r>
        <w:rPr>
          <w:rFonts w:hint="eastAsia" w:ascii="黑体" w:hAnsi="黑体" w:eastAsia="黑体" w:cs="黑体"/>
          <w:color w:val="auto"/>
          <w:sz w:val="21"/>
          <w:szCs w:val="21"/>
          <w:highlight w:val="none"/>
        </w:rPr>
        <w:t>图A.1 模态试验方法原理图</w:t>
      </w:r>
    </w:p>
    <w:p>
      <w:pPr>
        <w:pStyle w:val="19"/>
        <w:numPr>
          <w:ilvl w:val="0"/>
          <w:numId w:val="16"/>
        </w:numPr>
        <w:spacing w:beforeLines="100" w:afterLines="100"/>
        <w:ind w:left="6" w:hanging="6"/>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发电机</w:t>
      </w:r>
      <w:r>
        <w:rPr>
          <w:rFonts w:hint="eastAsia" w:ascii="黑体" w:hAnsi="黑体" w:eastAsia="黑体" w:cs="黑体"/>
          <w:bCs/>
          <w:color w:val="auto"/>
          <w:sz w:val="21"/>
          <w:szCs w:val="21"/>
          <w:highlight w:val="none"/>
          <w:lang w:eastAsia="zh-CN"/>
        </w:rPr>
        <w:t>非承重</w:t>
      </w:r>
      <w:r>
        <w:rPr>
          <w:rFonts w:hint="eastAsia" w:ascii="黑体" w:hAnsi="黑体" w:eastAsia="黑体" w:cs="黑体"/>
          <w:bCs/>
          <w:color w:val="auto"/>
          <w:sz w:val="21"/>
          <w:szCs w:val="21"/>
          <w:highlight w:val="none"/>
        </w:rPr>
        <w:t>机架模态测点位置示意图</w:t>
      </w:r>
    </w:p>
    <w:p>
      <w:pPr>
        <w:pStyle w:val="19"/>
        <w:ind w:firstLine="420" w:firstLineChars="200"/>
        <w:rPr>
          <w:rFonts w:eastAsia="宋体"/>
          <w:color w:val="auto"/>
          <w:sz w:val="21"/>
          <w:szCs w:val="21"/>
          <w:highlight w:val="none"/>
        </w:rPr>
      </w:pPr>
      <w:r>
        <w:rPr>
          <w:rFonts w:hAnsi="宋体" w:eastAsia="宋体"/>
          <w:color w:val="auto"/>
          <w:sz w:val="21"/>
          <w:szCs w:val="21"/>
          <w:highlight w:val="none"/>
        </w:rPr>
        <w:t>发电机</w:t>
      </w:r>
      <w:r>
        <w:rPr>
          <w:rFonts w:hint="eastAsia" w:hAnsi="宋体" w:eastAsia="宋体"/>
          <w:color w:val="auto"/>
          <w:sz w:val="21"/>
          <w:szCs w:val="21"/>
          <w:highlight w:val="none"/>
          <w:lang w:eastAsia="zh-CN"/>
        </w:rPr>
        <w:t>非承重</w:t>
      </w:r>
      <w:r>
        <w:rPr>
          <w:rFonts w:hAnsi="宋体" w:eastAsia="宋体"/>
          <w:color w:val="auto"/>
          <w:sz w:val="21"/>
          <w:szCs w:val="21"/>
          <w:highlight w:val="none"/>
        </w:rPr>
        <w:t>机架模态测点位置示意图分别见</w:t>
      </w:r>
      <w:r>
        <w:rPr>
          <w:rFonts w:eastAsia="宋体"/>
          <w:color w:val="auto"/>
          <w:sz w:val="21"/>
          <w:szCs w:val="21"/>
          <w:highlight w:val="none"/>
        </w:rPr>
        <w:t>图A.2。</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56"/>
        <w:gridCol w:w="4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40" w:type="dxa"/>
            <w:noWrap w:val="0"/>
            <w:vAlign w:val="center"/>
          </w:tcPr>
          <w:p>
            <w:pPr>
              <w:pStyle w:val="19"/>
              <w:jc w:val="center"/>
              <w:rPr>
                <w:color w:val="auto"/>
                <w:highlight w:val="none"/>
              </w:rPr>
            </w:pPr>
            <w:r>
              <w:rPr>
                <w:color w:val="auto"/>
                <w:highlight w:val="none"/>
              </w:rPr>
              <w:drawing>
                <wp:inline distT="0" distB="0" distL="114300" distR="114300">
                  <wp:extent cx="2051050" cy="2045970"/>
                  <wp:effectExtent l="0" t="0" r="635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grayscl/>
                          </a:blip>
                          <a:srcRect l="4268"/>
                          <a:stretch>
                            <a:fillRect/>
                          </a:stretch>
                        </pic:blipFill>
                        <pic:spPr>
                          <a:xfrm>
                            <a:off x="0" y="0"/>
                            <a:ext cx="2051050" cy="2045970"/>
                          </a:xfrm>
                          <a:prstGeom prst="rect">
                            <a:avLst/>
                          </a:prstGeom>
                          <a:noFill/>
                          <a:ln>
                            <a:noFill/>
                          </a:ln>
                        </pic:spPr>
                      </pic:pic>
                    </a:graphicData>
                  </a:graphic>
                </wp:inline>
              </w:drawing>
            </w:r>
          </w:p>
        </w:tc>
        <w:tc>
          <w:tcPr>
            <w:tcW w:w="4682" w:type="dxa"/>
            <w:noWrap w:val="0"/>
            <w:vAlign w:val="center"/>
          </w:tcPr>
          <w:p>
            <w:pPr>
              <w:pStyle w:val="19"/>
              <w:jc w:val="center"/>
              <w:rPr>
                <w:color w:val="auto"/>
                <w:highlight w:val="none"/>
              </w:rPr>
            </w:pPr>
            <w:r>
              <w:rPr>
                <w:color w:val="auto"/>
                <w:highlight w:val="none"/>
              </w:rPr>
              <w:drawing>
                <wp:inline distT="0" distB="0" distL="114300" distR="114300">
                  <wp:extent cx="2530475" cy="2141855"/>
                  <wp:effectExtent l="0" t="0" r="9525" b="444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2">
                            <a:grayscl/>
                          </a:blip>
                          <a:srcRect l="1784"/>
                          <a:stretch>
                            <a:fillRect/>
                          </a:stretch>
                        </pic:blipFill>
                        <pic:spPr>
                          <a:xfrm>
                            <a:off x="0" y="0"/>
                            <a:ext cx="2530475" cy="21418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40" w:type="dxa"/>
            <w:noWrap w:val="0"/>
            <w:vAlign w:val="center"/>
          </w:tcPr>
          <w:p>
            <w:pPr>
              <w:pStyle w:val="19"/>
              <w:jc w:val="center"/>
              <w:rPr>
                <w:rFonts w:eastAsia="黑体"/>
                <w:color w:val="auto"/>
                <w:highlight w:val="none"/>
              </w:rPr>
            </w:pPr>
            <w:r>
              <w:rPr>
                <w:rFonts w:hint="eastAsia" w:ascii="黑体" w:hAnsi="黑体" w:eastAsia="黑体" w:cs="黑体"/>
                <w:color w:val="auto"/>
                <w:sz w:val="21"/>
                <w:szCs w:val="21"/>
                <w:highlight w:val="none"/>
              </w:rPr>
              <w:t>图A.2-1</w:t>
            </w:r>
          </w:p>
        </w:tc>
        <w:tc>
          <w:tcPr>
            <w:tcW w:w="4682" w:type="dxa"/>
            <w:noWrap w:val="0"/>
            <w:vAlign w:val="center"/>
          </w:tcPr>
          <w:p>
            <w:pPr>
              <w:pStyle w:val="19"/>
              <w:jc w:val="center"/>
              <w:rPr>
                <w:rFonts w:eastAsia="黑体"/>
                <w:color w:val="auto"/>
                <w:highlight w:val="none"/>
              </w:rPr>
            </w:pPr>
            <w:r>
              <w:rPr>
                <w:rFonts w:hint="eastAsia" w:ascii="黑体" w:hAnsi="黑体" w:eastAsia="黑体" w:cs="黑体"/>
                <w:color w:val="auto"/>
                <w:sz w:val="21"/>
                <w:szCs w:val="21"/>
                <w:highlight w:val="none"/>
              </w:rPr>
              <w:t>图A.2-2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40" w:type="dxa"/>
            <w:noWrap w:val="0"/>
            <w:vAlign w:val="center"/>
          </w:tcPr>
          <w:p>
            <w:pPr>
              <w:pStyle w:val="19"/>
              <w:jc w:val="center"/>
              <w:rPr>
                <w:color w:val="auto"/>
                <w:highlight w:val="none"/>
              </w:rPr>
            </w:pPr>
            <w:r>
              <w:rPr>
                <w:color w:val="auto"/>
                <w:highlight w:val="none"/>
              </w:rPr>
              <w:drawing>
                <wp:inline distT="0" distB="0" distL="114300" distR="114300">
                  <wp:extent cx="2301240" cy="2138680"/>
                  <wp:effectExtent l="0" t="0" r="10160" b="762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3"/>
                          <a:srcRect l="1361"/>
                          <a:stretch>
                            <a:fillRect/>
                          </a:stretch>
                        </pic:blipFill>
                        <pic:spPr>
                          <a:xfrm>
                            <a:off x="0" y="0"/>
                            <a:ext cx="2301240" cy="2138680"/>
                          </a:xfrm>
                          <a:prstGeom prst="rect">
                            <a:avLst/>
                          </a:prstGeom>
                          <a:noFill/>
                          <a:ln>
                            <a:noFill/>
                          </a:ln>
                        </pic:spPr>
                      </pic:pic>
                    </a:graphicData>
                  </a:graphic>
                </wp:inline>
              </w:drawing>
            </w:r>
          </w:p>
        </w:tc>
        <w:tc>
          <w:tcPr>
            <w:tcW w:w="4682" w:type="dxa"/>
            <w:noWrap w:val="0"/>
            <w:vAlign w:val="center"/>
          </w:tcPr>
          <w:p>
            <w:pPr>
              <w:pStyle w:val="19"/>
              <w:jc w:val="center"/>
              <w:rPr>
                <w:color w:val="auto"/>
                <w:highlight w:val="none"/>
              </w:rPr>
            </w:pPr>
            <w:r>
              <w:rPr>
                <w:color w:val="auto"/>
                <w:highlight w:val="none"/>
              </w:rPr>
              <w:drawing>
                <wp:inline distT="0" distB="0" distL="114300" distR="114300">
                  <wp:extent cx="2520315" cy="1396365"/>
                  <wp:effectExtent l="0" t="0" r="6985"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4">
                            <a:grayscl/>
                          </a:blip>
                          <a:stretch>
                            <a:fillRect/>
                          </a:stretch>
                        </pic:blipFill>
                        <pic:spPr>
                          <a:xfrm>
                            <a:off x="0" y="0"/>
                            <a:ext cx="2520315" cy="13963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40" w:type="dxa"/>
            <w:noWrap w:val="0"/>
            <w:vAlign w:val="center"/>
          </w:tcPr>
          <w:p>
            <w:pPr>
              <w:pStyle w:val="19"/>
              <w:jc w:val="center"/>
              <w:rPr>
                <w:rFonts w:eastAsia="黑体"/>
                <w:color w:val="auto"/>
                <w:highlight w:val="none"/>
              </w:rPr>
            </w:pPr>
            <w:r>
              <w:rPr>
                <w:rFonts w:hint="eastAsia" w:ascii="黑体" w:hAnsi="黑体" w:eastAsia="黑体" w:cs="黑体"/>
                <w:color w:val="auto"/>
                <w:sz w:val="21"/>
                <w:szCs w:val="21"/>
                <w:highlight w:val="none"/>
              </w:rPr>
              <w:t>图A.2-3</w:t>
            </w:r>
          </w:p>
        </w:tc>
        <w:tc>
          <w:tcPr>
            <w:tcW w:w="4682" w:type="dxa"/>
            <w:noWrap w:val="0"/>
            <w:vAlign w:val="center"/>
          </w:tcPr>
          <w:p>
            <w:pPr>
              <w:pStyle w:val="19"/>
              <w:jc w:val="center"/>
              <w:rPr>
                <w:rFonts w:eastAsia="黑体"/>
                <w:color w:val="auto"/>
                <w:highlight w:val="none"/>
              </w:rPr>
            </w:pPr>
            <w:r>
              <w:rPr>
                <w:rFonts w:hint="eastAsia" w:ascii="黑体" w:hAnsi="黑体" w:eastAsia="黑体" w:cs="黑体"/>
                <w:color w:val="auto"/>
                <w:sz w:val="21"/>
                <w:szCs w:val="21"/>
                <w:highlight w:val="none"/>
              </w:rPr>
              <w:t>图A.2-4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noWrap w:val="0"/>
            <w:vAlign w:val="center"/>
          </w:tcPr>
          <w:p>
            <w:pPr>
              <w:pStyle w:val="19"/>
              <w:jc w:val="center"/>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图A.2 发电机</w:t>
            </w:r>
            <w:r>
              <w:rPr>
                <w:rFonts w:hint="eastAsia" w:ascii="黑体" w:hAnsi="黑体" w:eastAsia="黑体" w:cs="黑体"/>
                <w:color w:val="auto"/>
                <w:sz w:val="21"/>
                <w:szCs w:val="21"/>
                <w:highlight w:val="none"/>
                <w:lang w:eastAsia="zh-CN"/>
              </w:rPr>
              <w:t>非承重</w:t>
            </w:r>
            <w:r>
              <w:rPr>
                <w:rFonts w:hint="eastAsia" w:ascii="黑体" w:hAnsi="黑体" w:eastAsia="黑体" w:cs="黑体"/>
                <w:color w:val="auto"/>
                <w:sz w:val="21"/>
                <w:szCs w:val="21"/>
                <w:highlight w:val="none"/>
              </w:rPr>
              <w:t>机架模态激励点布置示意（图A.2-1辐射型、图A.2-2斜支臂型、图A.2-3井字型、图A.2-4桥型）</w:t>
            </w:r>
          </w:p>
        </w:tc>
      </w:tr>
    </w:tbl>
    <w:p>
      <w:pPr>
        <w:pStyle w:val="19"/>
        <w:ind w:firstLine="400" w:firstLineChars="200"/>
        <w:jc w:val="center"/>
        <w:rPr>
          <w:color w:val="auto"/>
          <w:highlight w:val="none"/>
        </w:rPr>
      </w:pPr>
    </w:p>
    <w:p>
      <w:pPr>
        <w:rPr>
          <w:rFonts w:ascii="Times New Roman" w:hAnsi="Times New Roman" w:cs="Times New Roman"/>
          <w:color w:val="auto"/>
          <w:highlight w:val="none"/>
        </w:rPr>
      </w:pPr>
      <w:r>
        <w:rPr>
          <w:rFonts w:ascii="Times New Roman" w:hAnsi="Times New Roman" w:cs="Times New Roman"/>
          <w:color w:val="auto"/>
          <w:highlight w:val="none"/>
        </w:rPr>
        <w:br w:type="page"/>
      </w:r>
    </w:p>
    <w:p>
      <w:pPr>
        <w:pageBreakBefore/>
        <w:spacing w:before="640" w:after="280"/>
        <w:jc w:val="center"/>
        <w:outlineLvl w:val="0"/>
        <w:rPr>
          <w:rFonts w:ascii="黑体" w:hAnsi="黑体" w:eastAsia="黑体" w:cs="黑体"/>
          <w:bCs/>
          <w:color w:val="auto"/>
          <w:szCs w:val="21"/>
          <w:highlight w:val="none"/>
        </w:rPr>
      </w:pPr>
      <w:bookmarkStart w:id="132" w:name="_Toc9253"/>
      <w:bookmarkStart w:id="133" w:name="_Toc21873"/>
      <w:bookmarkStart w:id="134" w:name="_Toc11543"/>
      <w:bookmarkStart w:id="135" w:name="_Toc11836"/>
      <w:bookmarkStart w:id="136" w:name="_Toc295"/>
      <w:r>
        <w:rPr>
          <w:rFonts w:hint="eastAsia" w:ascii="黑体" w:hAnsi="黑体" w:eastAsia="黑体" w:cs="黑体"/>
          <w:bCs/>
          <w:color w:val="auto"/>
          <w:szCs w:val="21"/>
          <w:highlight w:val="none"/>
        </w:rPr>
        <w:t>附录B</w:t>
      </w:r>
      <w:bookmarkEnd w:id="132"/>
      <w:bookmarkEnd w:id="133"/>
      <w:bookmarkEnd w:id="134"/>
      <w:bookmarkEnd w:id="135"/>
      <w:bookmarkEnd w:id="136"/>
    </w:p>
    <w:p>
      <w:pPr>
        <w:pStyle w:val="18"/>
        <w:spacing w:after="480" w:line="323" w:lineRule="exact"/>
        <w:ind w:firstLine="0"/>
        <w:jc w:val="center"/>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（资料性）</w:t>
      </w:r>
      <w:r>
        <w:rPr>
          <w:rFonts w:hint="eastAsia" w:ascii="黑体" w:hAnsi="黑体" w:eastAsia="黑体" w:cs="黑体"/>
          <w:bCs/>
          <w:color w:val="auto"/>
          <w:sz w:val="21"/>
          <w:szCs w:val="21"/>
          <w:highlight w:val="none"/>
        </w:rPr>
        <w:br w:type="textWrapping"/>
      </w:r>
      <w:r>
        <w:rPr>
          <w:rFonts w:hint="eastAsia" w:ascii="黑体" w:hAnsi="黑体" w:eastAsia="黑体" w:cs="黑体"/>
          <w:bCs/>
          <w:color w:val="auto"/>
          <w:sz w:val="21"/>
          <w:szCs w:val="21"/>
          <w:highlight w:val="none"/>
          <w:lang w:val="en-US" w:eastAsia="zh-CN"/>
        </w:rPr>
        <w:t>模态</w:t>
      </w:r>
      <w:r>
        <w:rPr>
          <w:rFonts w:hint="eastAsia" w:ascii="黑体" w:hAnsi="黑体" w:eastAsia="黑体" w:cs="黑体"/>
          <w:bCs/>
          <w:color w:val="auto"/>
          <w:sz w:val="21"/>
          <w:szCs w:val="21"/>
          <w:highlight w:val="none"/>
        </w:rPr>
        <w:t>振型</w:t>
      </w:r>
      <w:r>
        <w:rPr>
          <w:rFonts w:hint="eastAsia" w:ascii="黑体" w:hAnsi="黑体" w:eastAsia="黑体" w:cs="黑体"/>
          <w:bCs/>
          <w:color w:val="auto"/>
          <w:sz w:val="21"/>
          <w:szCs w:val="21"/>
          <w:highlight w:val="none"/>
          <w:lang w:val="en-US" w:eastAsia="zh-CN"/>
        </w:rPr>
        <w:t>类型</w:t>
      </w:r>
    </w:p>
    <w:p>
      <w:pPr>
        <w:pStyle w:val="19"/>
        <w:numPr>
          <w:ilvl w:val="0"/>
          <w:numId w:val="17"/>
        </w:numPr>
        <w:spacing w:after="100" w:line="288" w:lineRule="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呼吸型</w:t>
      </w:r>
      <w:r>
        <w:rPr>
          <w:rFonts w:hint="eastAsia" w:ascii="黑体" w:hAnsi="黑体" w:eastAsia="黑体" w:cs="黑体"/>
          <w:bCs/>
          <w:color w:val="auto"/>
          <w:sz w:val="21"/>
          <w:szCs w:val="21"/>
          <w:highlight w:val="none"/>
          <w:lang w:val="en-US" w:eastAsia="zh-CN"/>
        </w:rPr>
        <w:t xml:space="preserve"> </w:t>
      </w:r>
      <w:r>
        <w:rPr>
          <w:rFonts w:hint="eastAsia" w:ascii="黑体" w:hAnsi="黑体" w:eastAsia="黑体" w:cs="黑体"/>
          <w:color w:val="auto"/>
          <w:kern w:val="2"/>
          <w:sz w:val="21"/>
          <w:szCs w:val="21"/>
          <w:highlight w:val="none"/>
          <w:lang w:val="en-US" w:eastAsia="zh-CN" w:bidi="ar-SA"/>
        </w:rPr>
        <w:t>breath undulating shapes of vibration modes</w:t>
      </w:r>
    </w:p>
    <w:p>
      <w:pPr>
        <w:pStyle w:val="11"/>
        <w:spacing w:line="288" w:lineRule="auto"/>
        <w:ind w:firstLineChars="200"/>
        <w:textAlignment w:val="center"/>
        <w:rPr>
          <w:rFonts w:ascii="宋体" w:hAnsi="宋体" w:eastAsia="宋体" w:cs="宋体"/>
          <w:color w:val="auto"/>
          <w:szCs w:val="21"/>
          <w:highlight w:val="none"/>
        </w:rPr>
      </w:pPr>
      <w:r>
        <w:rPr>
          <w:rFonts w:ascii="Times New Roman" w:hAnsi="宋体" w:eastAsia="宋体" w:cs="Times New Roman"/>
          <w:color w:val="auto"/>
          <w:szCs w:val="21"/>
          <w:highlight w:val="none"/>
        </w:rPr>
        <w:t>振动整体呈现为轴向往复式，越靠近轴承油盆位置其振动幅度越大</w:t>
      </w:r>
      <w:r>
        <w:rPr>
          <w:rFonts w:ascii="Times New Roman" w:hAnsi="Times New Roman" w:eastAsia="宋体" w:cs="Times New Roman"/>
          <w:color w:val="auto"/>
          <w:szCs w:val="21"/>
          <w:highlight w:val="none"/>
        </w:rPr>
        <w:t>。详见图B-1</w:t>
      </w:r>
      <w:r>
        <w:rPr>
          <w:rFonts w:ascii="Times New Roman" w:hAnsi="宋体" w:eastAsia="宋体" w:cs="Times New Roman"/>
          <w:color w:val="auto"/>
          <w:szCs w:val="21"/>
          <w:highlight w:val="none"/>
        </w:rPr>
        <w:t>。</w:t>
      </w:r>
    </w:p>
    <w:p>
      <w:pPr>
        <w:pStyle w:val="18"/>
        <w:spacing w:after="0" w:line="240" w:lineRule="auto"/>
        <w:ind w:firstLine="0"/>
        <w:jc w:val="center"/>
        <w:rPr>
          <w:color w:val="auto"/>
          <w:highlight w:val="none"/>
        </w:rPr>
      </w:pPr>
      <w:r>
        <w:rPr>
          <w:rFonts w:ascii="Times New Roman" w:hAnsi="Times New Roman" w:cs="Times New Roman"/>
          <w:color w:val="auto"/>
          <w:highlight w:val="none"/>
        </w:rPr>
        <w:drawing>
          <wp:inline distT="0" distB="0" distL="114300" distR="114300">
            <wp:extent cx="3959860" cy="2607945"/>
            <wp:effectExtent l="0" t="0" r="2540" b="8255"/>
            <wp:docPr id="7" name="图片 31" descr="C:/Users/Lenovo/AppData/Local/Temp/picturecompress_2022042115322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descr="C:/Users/Lenovo/AppData/Local/Temp/picturecompress_20220421153227/output_1.pngoutput_1"/>
                    <pic:cNvPicPr>
                      <a:picLocks noChangeAspect="1"/>
                    </pic:cNvPicPr>
                  </pic:nvPicPr>
                  <pic:blipFill>
                    <a:blip r:embed="rId25"/>
                    <a:stretch>
                      <a:fillRect/>
                    </a:stretch>
                  </pic:blipFill>
                  <pic:spPr>
                    <a:xfrm>
                      <a:off x="0" y="0"/>
                      <a:ext cx="3959860" cy="2607945"/>
                    </a:xfrm>
                    <a:prstGeom prst="rect">
                      <a:avLst/>
                    </a:prstGeom>
                    <a:noFill/>
                    <a:ln>
                      <a:noFill/>
                    </a:ln>
                  </pic:spPr>
                </pic:pic>
              </a:graphicData>
            </a:graphic>
          </wp:inline>
        </w:drawing>
      </w:r>
    </w:p>
    <w:p>
      <w:pPr>
        <w:pStyle w:val="18"/>
        <w:spacing w:after="0" w:line="240" w:lineRule="auto"/>
        <w:ind w:firstLine="0"/>
        <w:jc w:val="center"/>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图B-1 呼吸型振型</w:t>
      </w:r>
    </w:p>
    <w:p>
      <w:pPr>
        <w:pStyle w:val="19"/>
        <w:numPr>
          <w:ilvl w:val="0"/>
          <w:numId w:val="17"/>
        </w:numPr>
        <w:spacing w:after="100" w:line="288" w:lineRule="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波浪型</w:t>
      </w:r>
      <w:r>
        <w:rPr>
          <w:rFonts w:hint="eastAsia" w:ascii="黑体" w:hAnsi="黑体" w:eastAsia="黑体" w:cs="黑体"/>
          <w:color w:val="auto"/>
          <w:sz w:val="21"/>
          <w:szCs w:val="21"/>
          <w:highlight w:val="none"/>
          <w:lang w:val="en-US" w:eastAsia="zh-CN"/>
        </w:rPr>
        <w:t xml:space="preserve"> </w:t>
      </w:r>
      <w:r>
        <w:rPr>
          <w:rFonts w:hint="eastAsia" w:ascii="黑体" w:hAnsi="黑体" w:eastAsia="黑体" w:cs="黑体"/>
          <w:color w:val="auto"/>
          <w:kern w:val="2"/>
          <w:sz w:val="21"/>
          <w:szCs w:val="21"/>
          <w:highlight w:val="none"/>
          <w:lang w:val="en-US" w:eastAsia="zh-CN" w:bidi="ar-SA"/>
        </w:rPr>
        <w:t>undulating shapes of vibration modes</w:t>
      </w:r>
      <w:r>
        <w:rPr>
          <w:rFonts w:hint="eastAsia" w:ascii="黑体" w:hAnsi="黑体" w:eastAsia="黑体" w:cs="黑体"/>
          <w:color w:val="auto"/>
          <w:sz w:val="21"/>
          <w:szCs w:val="21"/>
          <w:highlight w:val="none"/>
          <w:lang w:val="en-US" w:eastAsia="zh-CN"/>
        </w:rPr>
        <w:t xml:space="preserve"> </w:t>
      </w:r>
    </w:p>
    <w:p>
      <w:pPr>
        <w:pStyle w:val="11"/>
        <w:spacing w:line="288" w:lineRule="auto"/>
        <w:ind w:firstLineChars="200"/>
        <w:textAlignment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振动整体呈现为轴向往复式，在某对角支臂及轴承油盆组成的轴线两侧运动方向相反，越接近轴线位置其振动幅度越大，详见图B-2。</w:t>
      </w:r>
    </w:p>
    <w:p>
      <w:pPr>
        <w:pStyle w:val="18"/>
        <w:spacing w:after="0" w:line="240" w:lineRule="auto"/>
        <w:ind w:firstLine="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3959860" cy="2838450"/>
            <wp:effectExtent l="0" t="0" r="2540" b="6350"/>
            <wp:docPr id="8" name="图片 37" descr="C:/Users/Lenovo/AppData/Local/Temp/picturecompress_2022042115323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descr="C:/Users/Lenovo/AppData/Local/Temp/picturecompress_20220421153232/output_1.pngoutput_1"/>
                    <pic:cNvPicPr>
                      <a:picLocks noChangeAspect="1"/>
                    </pic:cNvPicPr>
                  </pic:nvPicPr>
                  <pic:blipFill>
                    <a:blip r:embed="rId26"/>
                    <a:stretch>
                      <a:fillRect/>
                    </a:stretch>
                  </pic:blipFill>
                  <pic:spPr>
                    <a:xfrm>
                      <a:off x="0" y="0"/>
                      <a:ext cx="3959860" cy="2838450"/>
                    </a:xfrm>
                    <a:prstGeom prst="rect">
                      <a:avLst/>
                    </a:prstGeom>
                    <a:noFill/>
                    <a:ln>
                      <a:noFill/>
                    </a:ln>
                  </pic:spPr>
                </pic:pic>
              </a:graphicData>
            </a:graphic>
          </wp:inline>
        </w:drawing>
      </w:r>
    </w:p>
    <w:p>
      <w:pPr>
        <w:pStyle w:val="18"/>
        <w:spacing w:after="0" w:line="240" w:lineRule="auto"/>
        <w:ind w:firstLine="0"/>
        <w:jc w:val="center"/>
        <w:rPr>
          <w:rFonts w:ascii="Times New Roman" w:hAnsi="Times New Roman" w:cs="Times New Roman"/>
          <w:color w:val="auto"/>
          <w:highlight w:val="none"/>
        </w:rPr>
      </w:pPr>
      <w:bookmarkStart w:id="137" w:name="OLE_LINK1"/>
      <w:r>
        <w:rPr>
          <w:rFonts w:hint="eastAsia" w:ascii="黑体" w:hAnsi="黑体" w:eastAsia="黑体" w:cs="黑体"/>
          <w:color w:val="auto"/>
          <w:sz w:val="21"/>
          <w:szCs w:val="21"/>
          <w:highlight w:val="none"/>
        </w:rPr>
        <w:t>图B-2 波浪型振型</w:t>
      </w:r>
    </w:p>
    <w:bookmarkEnd w:id="137"/>
    <w:p>
      <w:pPr>
        <w:pStyle w:val="19"/>
        <w:numPr>
          <w:ilvl w:val="0"/>
          <w:numId w:val="17"/>
        </w:numPr>
        <w:spacing w:after="100" w:line="288" w:lineRule="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扭转型</w:t>
      </w:r>
      <w:r>
        <w:rPr>
          <w:rFonts w:hint="eastAsia" w:ascii="黑体" w:hAnsi="黑体" w:eastAsia="黑体" w:cs="黑体"/>
          <w:color w:val="auto"/>
          <w:kern w:val="2"/>
          <w:sz w:val="21"/>
          <w:szCs w:val="21"/>
          <w:highlight w:val="none"/>
          <w:lang w:val="en-US" w:eastAsia="zh-CN" w:bidi="ar-SA"/>
        </w:rPr>
        <w:t xml:space="preserve"> torsional shapes of vibration modes </w:t>
      </w:r>
    </w:p>
    <w:p>
      <w:pPr>
        <w:pStyle w:val="11"/>
        <w:spacing w:line="288" w:lineRule="auto"/>
        <w:ind w:firstLineChars="200"/>
        <w:textAlignment w:val="center"/>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振动整体呈现为切向往复式，支臂沿切向方向往复运动，越接近支臂径向长度</w:t>
      </w:r>
      <w:r>
        <w:rPr>
          <w:rFonts w:ascii="Times New Roman" w:hAnsi="Times New Roman" w:eastAsia="宋体" w:cs="Times New Roman"/>
          <w:color w:val="auto"/>
          <w:szCs w:val="21"/>
          <w:highlight w:val="none"/>
        </w:rPr>
        <w:t>1/2</w:t>
      </w:r>
      <w:r>
        <w:rPr>
          <w:rFonts w:ascii="Times New Roman" w:hAnsi="宋体" w:eastAsia="宋体" w:cs="Times New Roman"/>
          <w:color w:val="auto"/>
          <w:szCs w:val="21"/>
          <w:highlight w:val="none"/>
        </w:rPr>
        <w:t>位置其振动幅度越大，详见图</w:t>
      </w:r>
      <w:r>
        <w:rPr>
          <w:rFonts w:ascii="Times New Roman" w:hAnsi="Times New Roman" w:eastAsia="宋体" w:cs="Times New Roman"/>
          <w:color w:val="auto"/>
          <w:szCs w:val="21"/>
          <w:highlight w:val="none"/>
        </w:rPr>
        <w:t>B-3</w:t>
      </w:r>
      <w:r>
        <w:rPr>
          <w:rFonts w:ascii="Times New Roman" w:hAnsi="宋体" w:eastAsia="宋体" w:cs="Times New Roman"/>
          <w:color w:val="auto"/>
          <w:szCs w:val="21"/>
          <w:highlight w:val="none"/>
        </w:rPr>
        <w:t>。</w:t>
      </w:r>
    </w:p>
    <w:p>
      <w:pPr>
        <w:pStyle w:val="18"/>
        <w:spacing w:after="0" w:line="240" w:lineRule="auto"/>
        <w:ind w:firstLine="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4115435" cy="2886075"/>
            <wp:effectExtent l="0" t="0" r="12065" b="9525"/>
            <wp:docPr id="9" name="图片 38" descr="C:/Users/Lenovo/AppData/Local/Temp/picturecompress_2022042115324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C:/Users/Lenovo/AppData/Local/Temp/picturecompress_20220421153241/output_1.pngoutput_1"/>
                    <pic:cNvPicPr>
                      <a:picLocks noChangeAspect="1"/>
                    </pic:cNvPicPr>
                  </pic:nvPicPr>
                  <pic:blipFill>
                    <a:blip r:embed="rId27"/>
                    <a:stretch>
                      <a:fillRect/>
                    </a:stretch>
                  </pic:blipFill>
                  <pic:spPr>
                    <a:xfrm>
                      <a:off x="0" y="0"/>
                      <a:ext cx="4115435" cy="2886075"/>
                    </a:xfrm>
                    <a:prstGeom prst="rect">
                      <a:avLst/>
                    </a:prstGeom>
                    <a:noFill/>
                    <a:ln>
                      <a:noFill/>
                    </a:ln>
                  </pic:spPr>
                </pic:pic>
              </a:graphicData>
            </a:graphic>
          </wp:inline>
        </w:drawing>
      </w:r>
    </w:p>
    <w:p>
      <w:pPr>
        <w:pStyle w:val="18"/>
        <w:spacing w:after="0" w:line="240" w:lineRule="auto"/>
        <w:ind w:firstLine="0"/>
        <w:jc w:val="center"/>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图B-3 扭转型振型</w:t>
      </w:r>
    </w:p>
    <w:p>
      <w:pPr>
        <w:pStyle w:val="19"/>
        <w:numPr>
          <w:ilvl w:val="0"/>
          <w:numId w:val="17"/>
        </w:numPr>
        <w:spacing w:after="100" w:line="288" w:lineRule="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单臂扭转振型</w:t>
      </w:r>
      <w:r>
        <w:rPr>
          <w:rFonts w:hint="eastAsia" w:ascii="黑体" w:hAnsi="黑体" w:eastAsia="黑体" w:cs="黑体"/>
          <w:color w:val="auto"/>
          <w:sz w:val="21"/>
          <w:szCs w:val="21"/>
          <w:highlight w:val="none"/>
          <w:lang w:val="en-US" w:eastAsia="zh-CN"/>
        </w:rPr>
        <w:t xml:space="preserve"> </w:t>
      </w:r>
      <w:r>
        <w:rPr>
          <w:rFonts w:hint="eastAsia" w:ascii="黑体" w:hAnsi="黑体" w:eastAsia="黑体" w:cs="黑体"/>
          <w:b w:val="0"/>
          <w:bCs w:val="0"/>
          <w:color w:val="auto"/>
          <w:kern w:val="2"/>
          <w:sz w:val="21"/>
          <w:szCs w:val="21"/>
          <w:highlight w:val="none"/>
          <w:lang w:val="en-US" w:eastAsia="zh-CN" w:bidi="ar-SA"/>
        </w:rPr>
        <w:t xml:space="preserve">single </w:t>
      </w:r>
      <w:r>
        <w:rPr>
          <w:rFonts w:hint="default" w:ascii="黑体" w:hAnsi="黑体" w:eastAsia="黑体" w:cs="黑体"/>
          <w:b w:val="0"/>
          <w:bCs w:val="0"/>
          <w:color w:val="auto"/>
          <w:kern w:val="2"/>
          <w:sz w:val="21"/>
          <w:szCs w:val="21"/>
          <w:highlight w:val="none"/>
          <w:lang w:val="en-US" w:eastAsia="zh-CN" w:bidi="ar-SA"/>
        </w:rPr>
        <w:fldChar w:fldCharType="begin"/>
      </w:r>
      <w:r>
        <w:rPr>
          <w:rFonts w:hint="default" w:ascii="黑体" w:hAnsi="黑体" w:eastAsia="黑体" w:cs="黑体"/>
          <w:b w:val="0"/>
          <w:bCs w:val="0"/>
          <w:color w:val="auto"/>
          <w:kern w:val="2"/>
          <w:sz w:val="21"/>
          <w:szCs w:val="21"/>
          <w:highlight w:val="none"/>
          <w:lang w:val="en-US" w:eastAsia="zh-CN" w:bidi="ar-SA"/>
        </w:rPr>
        <w:instrText xml:space="preserve"> HYPERLINK "javascript:;" </w:instrText>
      </w:r>
      <w:r>
        <w:rPr>
          <w:rFonts w:hint="default" w:ascii="黑体" w:hAnsi="黑体" w:eastAsia="黑体" w:cs="黑体"/>
          <w:b w:val="0"/>
          <w:bCs w:val="0"/>
          <w:color w:val="auto"/>
          <w:kern w:val="2"/>
          <w:sz w:val="21"/>
          <w:szCs w:val="21"/>
          <w:highlight w:val="none"/>
          <w:lang w:val="en-US" w:eastAsia="zh-CN" w:bidi="ar-SA"/>
        </w:rPr>
        <w:fldChar w:fldCharType="separate"/>
      </w:r>
      <w:r>
        <w:rPr>
          <w:rFonts w:hint="default" w:ascii="黑体" w:hAnsi="黑体" w:eastAsia="黑体" w:cs="黑体"/>
          <w:b w:val="0"/>
          <w:bCs w:val="0"/>
          <w:color w:val="auto"/>
          <w:kern w:val="2"/>
          <w:sz w:val="21"/>
          <w:szCs w:val="21"/>
          <w:highlight w:val="none"/>
          <w:lang w:val="en-US" w:eastAsia="zh-CN" w:bidi="ar-SA"/>
        </w:rPr>
        <w:t>support arm</w:t>
      </w:r>
      <w:r>
        <w:rPr>
          <w:rFonts w:hint="default" w:ascii="黑体" w:hAnsi="黑体" w:eastAsia="黑体" w:cs="黑体"/>
          <w:b w:val="0"/>
          <w:bCs w:val="0"/>
          <w:color w:val="auto"/>
          <w:kern w:val="2"/>
          <w:sz w:val="21"/>
          <w:szCs w:val="21"/>
          <w:highlight w:val="none"/>
          <w:lang w:val="en-US" w:eastAsia="zh-CN" w:bidi="ar-SA"/>
        </w:rPr>
        <w:fldChar w:fldCharType="end"/>
      </w:r>
      <w:r>
        <w:rPr>
          <w:rFonts w:hint="eastAsia" w:ascii="黑体" w:hAnsi="黑体" w:eastAsia="黑体" w:cs="黑体"/>
          <w:b w:val="0"/>
          <w:bCs w:val="0"/>
          <w:color w:val="auto"/>
          <w:kern w:val="2"/>
          <w:sz w:val="21"/>
          <w:szCs w:val="21"/>
          <w:highlight w:val="none"/>
          <w:lang w:val="en-US" w:eastAsia="zh-CN" w:bidi="ar-SA"/>
        </w:rPr>
        <w:t xml:space="preserve"> torsional shapes of vibration modes </w:t>
      </w:r>
    </w:p>
    <w:p>
      <w:pPr>
        <w:pStyle w:val="11"/>
        <w:spacing w:line="288" w:lineRule="auto"/>
        <w:ind w:firstLineChars="200"/>
        <w:textAlignment w:val="center"/>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振动整体呈现为麻花状或</w:t>
      </w:r>
      <w:r>
        <w:rPr>
          <w:rFonts w:ascii="Times New Roman" w:hAnsi="Times New Roman" w:eastAsia="宋体" w:cs="Times New Roman"/>
          <w:color w:val="auto"/>
          <w:szCs w:val="21"/>
          <w:highlight w:val="none"/>
        </w:rPr>
        <w:t>DNA</w:t>
      </w:r>
      <w:r>
        <w:rPr>
          <w:rFonts w:ascii="Times New Roman" w:hAnsi="宋体" w:eastAsia="宋体" w:cs="Times New Roman"/>
          <w:color w:val="auto"/>
          <w:szCs w:val="21"/>
          <w:highlight w:val="none"/>
        </w:rPr>
        <w:t>双链式结构，越接近支臂径向长度</w:t>
      </w:r>
      <w:r>
        <w:rPr>
          <w:rFonts w:ascii="Times New Roman" w:hAnsi="Times New Roman" w:eastAsia="宋体" w:cs="Times New Roman"/>
          <w:color w:val="auto"/>
          <w:szCs w:val="21"/>
          <w:highlight w:val="none"/>
        </w:rPr>
        <w:t>1/4</w:t>
      </w:r>
      <w:r>
        <w:rPr>
          <w:rFonts w:ascii="Times New Roman" w:hAnsi="宋体" w:eastAsia="宋体" w:cs="Times New Roman"/>
          <w:color w:val="auto"/>
          <w:szCs w:val="21"/>
          <w:highlight w:val="none"/>
        </w:rPr>
        <w:t>和</w:t>
      </w:r>
      <w:r>
        <w:rPr>
          <w:rFonts w:ascii="Times New Roman" w:hAnsi="Times New Roman" w:eastAsia="宋体" w:cs="Times New Roman"/>
          <w:color w:val="auto"/>
          <w:szCs w:val="21"/>
          <w:highlight w:val="none"/>
        </w:rPr>
        <w:t>3/4</w:t>
      </w:r>
      <w:r>
        <w:rPr>
          <w:rFonts w:ascii="Times New Roman" w:hAnsi="宋体" w:eastAsia="宋体" w:cs="Times New Roman"/>
          <w:color w:val="auto"/>
          <w:szCs w:val="21"/>
          <w:highlight w:val="none"/>
        </w:rPr>
        <w:t>位置处其振动幅度越大，详见图</w:t>
      </w:r>
      <w:r>
        <w:rPr>
          <w:rFonts w:ascii="Times New Roman" w:hAnsi="Times New Roman" w:eastAsia="宋体" w:cs="Times New Roman"/>
          <w:color w:val="auto"/>
          <w:szCs w:val="21"/>
          <w:highlight w:val="none"/>
        </w:rPr>
        <w:t>B-4</w:t>
      </w:r>
      <w:r>
        <w:rPr>
          <w:rFonts w:ascii="Times New Roman" w:hAnsi="宋体" w:eastAsia="宋体" w:cs="Times New Roman"/>
          <w:color w:val="auto"/>
          <w:szCs w:val="21"/>
          <w:highlight w:val="none"/>
        </w:rPr>
        <w:t>。</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9"/>
        <w:gridCol w:w="44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079" w:type="dxa"/>
            <w:noWrap w:val="0"/>
            <w:vAlign w:val="center"/>
          </w:tcPr>
          <w:p>
            <w:pPr>
              <w:pStyle w:val="18"/>
              <w:spacing w:after="0" w:line="240" w:lineRule="auto"/>
              <w:ind w:firstLine="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2394585" cy="1696720"/>
                  <wp:effectExtent l="0" t="0" r="5715" b="5080"/>
                  <wp:docPr id="10" name="图片 61" descr="249cb30b6b8ced8d0fe60239ae3f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1" descr="249cb30b6b8ced8d0fe60239ae3ff8e"/>
                          <pic:cNvPicPr>
                            <a:picLocks noChangeAspect="1"/>
                          </pic:cNvPicPr>
                        </pic:nvPicPr>
                        <pic:blipFill>
                          <a:blip r:embed="rId28"/>
                          <a:srcRect l="19102" t="27144" r="2240" b="12080"/>
                          <a:stretch>
                            <a:fillRect/>
                          </a:stretch>
                        </pic:blipFill>
                        <pic:spPr>
                          <a:xfrm>
                            <a:off x="0" y="0"/>
                            <a:ext cx="2394585" cy="1696720"/>
                          </a:xfrm>
                          <a:prstGeom prst="rect">
                            <a:avLst/>
                          </a:prstGeom>
                          <a:noFill/>
                          <a:ln>
                            <a:noFill/>
                          </a:ln>
                        </pic:spPr>
                      </pic:pic>
                    </a:graphicData>
                  </a:graphic>
                </wp:inline>
              </w:drawing>
            </w:r>
          </w:p>
        </w:tc>
        <w:tc>
          <w:tcPr>
            <w:tcW w:w="4443" w:type="dxa"/>
            <w:noWrap w:val="0"/>
            <w:vAlign w:val="center"/>
          </w:tcPr>
          <w:p>
            <w:pPr>
              <w:pStyle w:val="18"/>
              <w:spacing w:after="0" w:line="240" w:lineRule="auto"/>
              <w:ind w:firstLine="0"/>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2761615" cy="1562100"/>
                  <wp:effectExtent l="0" t="0" r="6985" b="0"/>
                  <wp:docPr id="11" name="图片 63" descr="e8aab5107b710957f82a1d368b77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3" descr="e8aab5107b710957f82a1d368b777b9"/>
                          <pic:cNvPicPr>
                            <a:picLocks noChangeAspect="1"/>
                          </pic:cNvPicPr>
                        </pic:nvPicPr>
                        <pic:blipFill>
                          <a:blip r:embed="rId29"/>
                          <a:srcRect l="16205" t="33350" r="1288" b="19127"/>
                          <a:stretch>
                            <a:fillRect/>
                          </a:stretch>
                        </pic:blipFill>
                        <pic:spPr>
                          <a:xfrm>
                            <a:off x="0" y="0"/>
                            <a:ext cx="2761615" cy="15621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noWrap w:val="0"/>
            <w:vAlign w:val="center"/>
          </w:tcPr>
          <w:p>
            <w:pPr>
              <w:pStyle w:val="18"/>
              <w:spacing w:after="0" w:line="240" w:lineRule="auto"/>
              <w:ind w:firstLine="0"/>
              <w:jc w:val="center"/>
              <w:rPr>
                <w:rFonts w:ascii="Times New Roman" w:hAnsi="Times New Roman" w:cs="Times New Roman"/>
                <w:color w:val="auto"/>
                <w:highlight w:val="none"/>
              </w:rPr>
            </w:pPr>
            <w:r>
              <w:rPr>
                <w:rFonts w:hint="eastAsia" w:ascii="黑体" w:hAnsi="黑体" w:eastAsia="黑体" w:cs="黑体"/>
                <w:color w:val="auto"/>
                <w:sz w:val="21"/>
                <w:szCs w:val="21"/>
                <w:highlight w:val="none"/>
              </w:rPr>
              <w:t>图B-4 单臂扭转振型</w:t>
            </w:r>
          </w:p>
        </w:tc>
      </w:tr>
    </w:tbl>
    <w:p>
      <w:pPr>
        <w:pStyle w:val="18"/>
        <w:spacing w:after="480" w:line="240" w:lineRule="auto"/>
        <w:ind w:firstLine="0"/>
        <w:jc w:val="center"/>
        <w:rPr>
          <w:rFonts w:ascii="Times New Roman" w:hAnsi="Times New Roman" w:cs="Times New Roman"/>
          <w:color w:val="auto"/>
          <w:highlight w:val="none"/>
        </w:rPr>
      </w:pPr>
    </w:p>
    <w:p>
      <w:pPr>
        <w:pageBreakBefore/>
        <w:spacing w:before="640" w:after="280"/>
        <w:jc w:val="center"/>
        <w:outlineLvl w:val="0"/>
        <w:rPr>
          <w:rFonts w:ascii="黑体" w:hAnsi="黑体" w:eastAsia="黑体" w:cs="黑体"/>
          <w:bCs/>
          <w:color w:val="auto"/>
          <w:szCs w:val="21"/>
          <w:highlight w:val="none"/>
        </w:rPr>
      </w:pPr>
      <w:bookmarkStart w:id="138" w:name="_Toc27544"/>
      <w:bookmarkStart w:id="139" w:name="_Toc10289"/>
      <w:bookmarkStart w:id="140" w:name="_Toc18432"/>
      <w:bookmarkStart w:id="141" w:name="_Toc17432"/>
      <w:bookmarkStart w:id="142" w:name="_Toc2803"/>
      <w:r>
        <w:rPr>
          <w:rFonts w:hint="eastAsia" w:ascii="黑体" w:hAnsi="黑体" w:eastAsia="黑体" w:cs="黑体"/>
          <w:bCs/>
          <w:color w:val="auto"/>
          <w:szCs w:val="21"/>
          <w:highlight w:val="none"/>
        </w:rPr>
        <w:t>附录C</w:t>
      </w:r>
      <w:bookmarkEnd w:id="138"/>
      <w:bookmarkEnd w:id="139"/>
      <w:bookmarkEnd w:id="140"/>
      <w:bookmarkEnd w:id="141"/>
      <w:bookmarkEnd w:id="142"/>
    </w:p>
    <w:p>
      <w:pPr>
        <w:jc w:val="center"/>
        <w:rPr>
          <w:rFonts w:ascii="黑体" w:hAnsi="黑体" w:eastAsia="黑体" w:cs="黑体"/>
          <w:bCs/>
          <w:color w:val="auto"/>
          <w:szCs w:val="21"/>
          <w:highlight w:val="none"/>
        </w:rPr>
      </w:pPr>
      <w:r>
        <w:rPr>
          <w:rFonts w:hint="eastAsia" w:ascii="黑体" w:hAnsi="黑体" w:eastAsia="黑体" w:cs="黑体"/>
          <w:bCs/>
          <w:color w:val="auto"/>
          <w:szCs w:val="21"/>
          <w:highlight w:val="none"/>
        </w:rPr>
        <w:t>（资料性）</w:t>
      </w:r>
    </w:p>
    <w:p>
      <w:pPr>
        <w:spacing w:after="480" w:line="330" w:lineRule="exact"/>
        <w:jc w:val="center"/>
        <w:rPr>
          <w:rFonts w:ascii="黑体" w:hAnsi="黑体" w:eastAsia="黑体" w:cs="黑体"/>
          <w:bCs/>
          <w:color w:val="auto"/>
          <w:szCs w:val="21"/>
          <w:highlight w:val="none"/>
        </w:rPr>
      </w:pPr>
      <w:r>
        <w:rPr>
          <w:rFonts w:hint="eastAsia" w:ascii="黑体" w:hAnsi="黑体" w:eastAsia="黑体" w:cs="黑体"/>
          <w:bCs/>
          <w:color w:val="auto"/>
          <w:szCs w:val="21"/>
          <w:highlight w:val="none"/>
        </w:rPr>
        <w:t>水轮发电机非承重机架模态测试示例</w:t>
      </w:r>
    </w:p>
    <w:p>
      <w:pPr>
        <w:pStyle w:val="18"/>
        <w:numPr>
          <w:ilvl w:val="0"/>
          <w:numId w:val="18"/>
        </w:numPr>
        <w:spacing w:beforeLines="100" w:afterLines="100" w:line="240" w:lineRule="auto"/>
        <w:ind w:left="6" w:hanging="6"/>
        <w:jc w:val="left"/>
        <w:rPr>
          <w:rFonts w:ascii="黑体" w:hAnsi="黑体" w:eastAsia="黑体" w:cs="黑体"/>
          <w:bCs/>
          <w:color w:val="auto"/>
          <w:sz w:val="21"/>
          <w:szCs w:val="21"/>
          <w:highlight w:val="none"/>
        </w:rPr>
      </w:pPr>
      <w:bookmarkStart w:id="143" w:name="_Toc16787"/>
      <w:bookmarkStart w:id="144" w:name="_Toc4609"/>
      <w:r>
        <w:rPr>
          <w:rFonts w:hint="eastAsia" w:ascii="黑体" w:hAnsi="黑体" w:eastAsia="黑体" w:cs="黑体"/>
          <w:bCs/>
          <w:color w:val="auto"/>
          <w:sz w:val="21"/>
          <w:szCs w:val="21"/>
          <w:highlight w:val="none"/>
        </w:rPr>
        <w:t>试验对象简介</w:t>
      </w:r>
      <w:bookmarkEnd w:id="143"/>
      <w:bookmarkEnd w:id="144"/>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试验对象为某电站单机容量</w:t>
      </w:r>
      <w:r>
        <w:rPr>
          <w:rFonts w:ascii="Times New Roman" w:hAnsi="Times New Roman" w:eastAsia="宋体" w:cs="Times New Roman"/>
          <w:color w:val="auto"/>
          <w:szCs w:val="21"/>
          <w:highlight w:val="none"/>
        </w:rPr>
        <w:t>20MW</w:t>
      </w:r>
      <w:r>
        <w:rPr>
          <w:rFonts w:ascii="Times New Roman" w:hAnsi="宋体" w:eastAsia="宋体" w:cs="Times New Roman"/>
          <w:color w:val="auto"/>
          <w:szCs w:val="21"/>
          <w:highlight w:val="none"/>
        </w:rPr>
        <w:t>机组，</w:t>
      </w:r>
      <w:r>
        <w:rPr>
          <w:rFonts w:hint="eastAsia" w:ascii="Times New Roman" w:hAnsi="宋体" w:cs="Times New Roman"/>
          <w:color w:val="auto"/>
          <w:szCs w:val="21"/>
          <w:highlight w:val="none"/>
          <w:lang w:val="en-US" w:eastAsia="zh-CN"/>
        </w:rPr>
        <w:t>上导轴承</w:t>
      </w:r>
      <w:r>
        <w:rPr>
          <w:rFonts w:ascii="Times New Roman" w:hAnsi="宋体" w:eastAsia="宋体" w:cs="Times New Roman"/>
          <w:color w:val="auto"/>
          <w:szCs w:val="21"/>
          <w:highlight w:val="none"/>
        </w:rPr>
        <w:t>机架为辐射型结构。整体质量约</w:t>
      </w:r>
      <w:r>
        <w:rPr>
          <w:rFonts w:ascii="Times New Roman" w:hAnsi="Times New Roman" w:eastAsia="宋体" w:cs="Times New Roman"/>
          <w:color w:val="auto"/>
          <w:szCs w:val="21"/>
          <w:highlight w:val="none"/>
        </w:rPr>
        <w:t>10740</w:t>
      </w:r>
      <w:r>
        <w:rPr>
          <w:rFonts w:ascii="Times New Roman" w:hAnsi="宋体" w:eastAsia="宋体" w:cs="Times New Roman"/>
          <w:color w:val="auto"/>
          <w:szCs w:val="21"/>
          <w:highlight w:val="none"/>
        </w:rPr>
        <w:t>千克，直径</w:t>
      </w:r>
      <w:r>
        <w:rPr>
          <w:rFonts w:ascii="Times New Roman" w:hAnsi="Times New Roman" w:eastAsia="宋体" w:cs="Times New Roman"/>
          <w:color w:val="auto"/>
          <w:szCs w:val="21"/>
          <w:highlight w:val="none"/>
        </w:rPr>
        <w:t>8.4</w:t>
      </w:r>
      <w:r>
        <w:rPr>
          <w:rFonts w:ascii="Times New Roman" w:hAnsi="宋体" w:eastAsia="宋体" w:cs="Times New Roman"/>
          <w:color w:val="auto"/>
          <w:szCs w:val="21"/>
          <w:highlight w:val="none"/>
        </w:rPr>
        <w:t>米，</w:t>
      </w:r>
      <w:r>
        <w:rPr>
          <w:rFonts w:ascii="Times New Roman" w:hAnsi="Times New Roman" w:eastAsia="宋体" w:cs="Times New Roman"/>
          <w:color w:val="auto"/>
          <w:szCs w:val="21"/>
          <w:highlight w:val="none"/>
        </w:rPr>
        <w:t>8</w:t>
      </w:r>
      <w:r>
        <w:rPr>
          <w:rFonts w:ascii="Times New Roman" w:hAnsi="宋体" w:eastAsia="宋体" w:cs="Times New Roman"/>
          <w:color w:val="auto"/>
          <w:szCs w:val="21"/>
          <w:highlight w:val="none"/>
        </w:rPr>
        <w:t>条支臂从中心呈辐射状均布与机坑壁面连接。</w:t>
      </w:r>
    </w:p>
    <w:p>
      <w:pPr>
        <w:pStyle w:val="18"/>
        <w:numPr>
          <w:ilvl w:val="0"/>
          <w:numId w:val="18"/>
        </w:numPr>
        <w:spacing w:beforeLines="100" w:afterLines="100" w:line="240" w:lineRule="auto"/>
        <w:ind w:left="6" w:hanging="6"/>
        <w:jc w:val="left"/>
        <w:rPr>
          <w:rFonts w:ascii="黑体" w:hAnsi="黑体" w:eastAsia="黑体" w:cs="黑体"/>
          <w:bCs/>
          <w:color w:val="auto"/>
          <w:sz w:val="21"/>
          <w:szCs w:val="21"/>
          <w:highlight w:val="none"/>
        </w:rPr>
      </w:pPr>
      <w:bookmarkStart w:id="145" w:name="_Toc19137"/>
      <w:bookmarkStart w:id="146" w:name="_Toc19032"/>
      <w:r>
        <w:rPr>
          <w:rFonts w:hint="eastAsia" w:ascii="黑体" w:hAnsi="黑体" w:eastAsia="黑体" w:cs="黑体"/>
          <w:bCs/>
          <w:color w:val="auto"/>
          <w:sz w:val="21"/>
          <w:szCs w:val="21"/>
          <w:highlight w:val="none"/>
        </w:rPr>
        <w:t>试验仪器设备</w:t>
      </w:r>
      <w:bookmarkEnd w:id="145"/>
      <w:bookmarkEnd w:id="146"/>
    </w:p>
    <w:p>
      <w:pPr>
        <w:spacing w:line="288"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信号采集及分析软件、信号采集仪、中型聚能力锤、加速度传感器、导线配件。</w:t>
      </w:r>
    </w:p>
    <w:p>
      <w:pPr>
        <w:pStyle w:val="18"/>
        <w:numPr>
          <w:ilvl w:val="0"/>
          <w:numId w:val="18"/>
        </w:numPr>
        <w:spacing w:beforeLines="100" w:afterLines="100" w:line="240" w:lineRule="auto"/>
        <w:ind w:left="6" w:hanging="6"/>
        <w:jc w:val="left"/>
        <w:rPr>
          <w:rFonts w:ascii="黑体" w:hAnsi="黑体" w:eastAsia="黑体" w:cs="黑体"/>
          <w:bCs/>
          <w:color w:val="auto"/>
          <w:sz w:val="21"/>
          <w:szCs w:val="21"/>
          <w:highlight w:val="none"/>
        </w:rPr>
      </w:pPr>
      <w:bookmarkStart w:id="147" w:name="_Toc23105"/>
      <w:bookmarkStart w:id="148" w:name="_Toc9449"/>
      <w:r>
        <w:rPr>
          <w:rFonts w:hint="eastAsia" w:ascii="黑体" w:hAnsi="黑体" w:eastAsia="黑体" w:cs="黑体"/>
          <w:bCs/>
          <w:color w:val="auto"/>
          <w:sz w:val="21"/>
          <w:szCs w:val="21"/>
          <w:highlight w:val="none"/>
        </w:rPr>
        <w:t>试验内容</w:t>
      </w:r>
      <w:bookmarkEnd w:id="147"/>
      <w:bookmarkEnd w:id="148"/>
    </w:p>
    <w:p>
      <w:pPr>
        <w:pStyle w:val="19"/>
        <w:numPr>
          <w:ilvl w:val="0"/>
          <w:numId w:val="19"/>
        </w:numPr>
        <w:spacing w:beforeLines="100" w:afterLines="100"/>
        <w:ind w:left="0" w:firstLine="0"/>
        <w:rPr>
          <w:rFonts w:ascii="黑体" w:hAnsi="黑体" w:eastAsia="黑体" w:cs="黑体"/>
          <w:bCs/>
          <w:color w:val="auto"/>
          <w:sz w:val="21"/>
          <w:szCs w:val="21"/>
          <w:highlight w:val="none"/>
        </w:rPr>
      </w:pPr>
      <w:bookmarkStart w:id="149" w:name="_Toc14413"/>
      <w:bookmarkStart w:id="150" w:name="_Toc4523"/>
      <w:r>
        <w:rPr>
          <w:rFonts w:hint="eastAsia" w:ascii="黑体" w:hAnsi="黑体" w:eastAsia="黑体" w:cs="黑体"/>
          <w:bCs/>
          <w:color w:val="auto"/>
          <w:sz w:val="21"/>
          <w:szCs w:val="21"/>
          <w:highlight w:val="none"/>
        </w:rPr>
        <w:t>上机架模态试验步骤</w:t>
      </w:r>
      <w:bookmarkEnd w:id="149"/>
      <w:bookmarkEnd w:id="150"/>
    </w:p>
    <w:p>
      <w:pPr>
        <w:pStyle w:val="19"/>
        <w:numPr>
          <w:ilvl w:val="0"/>
          <w:numId w:val="20"/>
        </w:numPr>
        <w:spacing w:beforeLines="100" w:afterLines="100"/>
        <w:ind w:left="0" w:firstLine="0"/>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测点选择</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将上机架</w:t>
      </w:r>
      <w:r>
        <w:rPr>
          <w:rFonts w:ascii="Times New Roman" w:hAnsi="Times New Roman" w:eastAsia="宋体" w:cs="Times New Roman"/>
          <w:color w:val="auto"/>
          <w:szCs w:val="21"/>
          <w:highlight w:val="none"/>
        </w:rPr>
        <w:t>8</w:t>
      </w:r>
      <w:r>
        <w:rPr>
          <w:rFonts w:ascii="Times New Roman" w:hAnsi="宋体" w:eastAsia="宋体" w:cs="Times New Roman"/>
          <w:color w:val="auto"/>
          <w:szCs w:val="21"/>
          <w:highlight w:val="none"/>
        </w:rPr>
        <w:t>个支臂如图</w:t>
      </w:r>
      <w:r>
        <w:rPr>
          <w:rFonts w:ascii="Times New Roman" w:hAnsi="Times New Roman" w:eastAsia="宋体" w:cs="Times New Roman"/>
          <w:color w:val="auto"/>
          <w:szCs w:val="21"/>
          <w:highlight w:val="none"/>
        </w:rPr>
        <w:t>C-1</w:t>
      </w:r>
      <w:r>
        <w:rPr>
          <w:rFonts w:ascii="Times New Roman" w:hAnsi="宋体" w:eastAsia="宋体" w:cs="Times New Roman"/>
          <w:color w:val="auto"/>
          <w:szCs w:val="21"/>
          <w:highlight w:val="none"/>
        </w:rPr>
        <w:t>编号，并在支臂上选取激励点和传感器安装测点。</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激励点：共有垂直激励点</w:t>
      </w:r>
      <w:r>
        <w:rPr>
          <w:rFonts w:ascii="Times New Roman" w:hAnsi="Times New Roman" w:eastAsia="宋体" w:cs="Times New Roman"/>
          <w:color w:val="auto"/>
          <w:szCs w:val="21"/>
          <w:highlight w:val="none"/>
        </w:rPr>
        <w:t>48</w:t>
      </w:r>
      <w:r>
        <w:rPr>
          <w:rFonts w:ascii="Times New Roman" w:hAnsi="宋体" w:eastAsia="宋体" w:cs="Times New Roman"/>
          <w:color w:val="auto"/>
          <w:szCs w:val="21"/>
          <w:highlight w:val="none"/>
        </w:rPr>
        <w:t>个，编号</w:t>
      </w:r>
      <w:r>
        <w:rPr>
          <w:rFonts w:ascii="Times New Roman" w:hAnsi="Times New Roman" w:eastAsia="宋体" w:cs="Times New Roman"/>
          <w:color w:val="auto"/>
          <w:szCs w:val="21"/>
          <w:highlight w:val="none"/>
        </w:rPr>
        <w:t>1~48</w:t>
      </w:r>
      <w:r>
        <w:rPr>
          <w:rFonts w:ascii="Times New Roman" w:hAnsi="宋体" w:eastAsia="宋体" w:cs="Times New Roman"/>
          <w:color w:val="auto"/>
          <w:szCs w:val="21"/>
          <w:highlight w:val="none"/>
        </w:rPr>
        <w:t>，每支臂布</w:t>
      </w:r>
      <w:r>
        <w:rPr>
          <w:rFonts w:ascii="Times New Roman" w:hAnsi="Times New Roman" w:eastAsia="宋体" w:cs="Times New Roman"/>
          <w:color w:val="auto"/>
          <w:szCs w:val="21"/>
          <w:highlight w:val="none"/>
        </w:rPr>
        <w:t>6</w:t>
      </w:r>
      <w:r>
        <w:rPr>
          <w:rFonts w:ascii="Times New Roman" w:hAnsi="宋体" w:eastAsia="宋体" w:cs="Times New Roman"/>
          <w:color w:val="auto"/>
          <w:szCs w:val="21"/>
          <w:highlight w:val="none"/>
        </w:rPr>
        <w:t>个；水平激励点</w:t>
      </w:r>
      <w:r>
        <w:rPr>
          <w:rFonts w:ascii="Times New Roman" w:hAnsi="Times New Roman" w:eastAsia="宋体" w:cs="Times New Roman"/>
          <w:color w:val="auto"/>
          <w:szCs w:val="21"/>
          <w:highlight w:val="none"/>
        </w:rPr>
        <w:t>40</w:t>
      </w:r>
      <w:r>
        <w:rPr>
          <w:rFonts w:ascii="Times New Roman" w:hAnsi="宋体" w:eastAsia="宋体" w:cs="Times New Roman"/>
          <w:color w:val="auto"/>
          <w:szCs w:val="21"/>
          <w:highlight w:val="none"/>
        </w:rPr>
        <w:t>个，编号</w:t>
      </w:r>
      <w:r>
        <w:rPr>
          <w:rFonts w:ascii="Times New Roman" w:hAnsi="Times New Roman" w:eastAsia="宋体" w:cs="Times New Roman"/>
          <w:color w:val="auto"/>
          <w:szCs w:val="21"/>
          <w:highlight w:val="none"/>
        </w:rPr>
        <w:t>49~88</w:t>
      </w:r>
      <w:r>
        <w:rPr>
          <w:rFonts w:ascii="Times New Roman" w:hAnsi="宋体" w:eastAsia="宋体" w:cs="Times New Roman"/>
          <w:color w:val="auto"/>
          <w:szCs w:val="21"/>
          <w:highlight w:val="none"/>
        </w:rPr>
        <w:t>，每支臂布</w:t>
      </w:r>
      <w:r>
        <w:rPr>
          <w:rFonts w:ascii="Times New Roman" w:hAnsi="Times New Roman" w:eastAsia="宋体" w:cs="Times New Roman"/>
          <w:color w:val="auto"/>
          <w:szCs w:val="21"/>
          <w:highlight w:val="none"/>
        </w:rPr>
        <w:t>5</w:t>
      </w:r>
      <w:r>
        <w:rPr>
          <w:rFonts w:ascii="Times New Roman" w:hAnsi="宋体" w:eastAsia="宋体" w:cs="Times New Roman"/>
          <w:color w:val="auto"/>
          <w:szCs w:val="21"/>
          <w:highlight w:val="none"/>
        </w:rPr>
        <w:t>个。响应点：共六个传感器，分别为：垂直向两个，</w:t>
      </w:r>
      <w:bookmarkStart w:id="151" w:name="OLE_LINK4"/>
      <w:r>
        <w:rPr>
          <w:rFonts w:ascii="Times New Roman" w:hAnsi="宋体" w:eastAsia="宋体" w:cs="Times New Roman"/>
          <w:color w:val="auto"/>
          <w:szCs w:val="21"/>
          <w:highlight w:val="none"/>
        </w:rPr>
        <w:t>置于</w:t>
      </w:r>
      <w:bookmarkEnd w:id="151"/>
      <w:r>
        <w:rPr>
          <w:rFonts w:ascii="Times New Roman" w:hAnsi="宋体" w:eastAsia="宋体" w:cs="Times New Roman"/>
          <w:color w:val="auto"/>
          <w:szCs w:val="21"/>
          <w:highlight w:val="none"/>
        </w:rPr>
        <w:t>激励点</w:t>
      </w:r>
      <w:r>
        <w:rPr>
          <w:rFonts w:ascii="Times New Roman" w:hAnsi="Times New Roman" w:eastAsia="宋体" w:cs="Times New Roman"/>
          <w:color w:val="auto"/>
          <w:szCs w:val="21"/>
          <w:highlight w:val="none"/>
        </w:rPr>
        <w:t>2</w:t>
      </w:r>
      <w:r>
        <w:rPr>
          <w:rFonts w:ascii="Times New Roman" w:hAnsi="宋体" w:eastAsia="宋体" w:cs="Times New Roman"/>
          <w:color w:val="auto"/>
          <w:szCs w:val="21"/>
          <w:highlight w:val="none"/>
        </w:rPr>
        <w:t>和</w:t>
      </w:r>
      <w:r>
        <w:rPr>
          <w:rFonts w:ascii="Times New Roman" w:hAnsi="Times New Roman" w:eastAsia="宋体" w:cs="Times New Roman"/>
          <w:color w:val="auto"/>
          <w:szCs w:val="21"/>
          <w:highlight w:val="none"/>
        </w:rPr>
        <w:t>34</w:t>
      </w:r>
      <w:r>
        <w:rPr>
          <w:rFonts w:ascii="Times New Roman" w:hAnsi="宋体" w:eastAsia="宋体" w:cs="Times New Roman"/>
          <w:color w:val="auto"/>
          <w:szCs w:val="21"/>
          <w:highlight w:val="none"/>
        </w:rPr>
        <w:t>旁；水平向两个，置于激励点</w:t>
      </w:r>
      <w:r>
        <w:rPr>
          <w:rFonts w:ascii="Times New Roman" w:hAnsi="Times New Roman" w:eastAsia="宋体" w:cs="Times New Roman"/>
          <w:color w:val="auto"/>
          <w:szCs w:val="21"/>
          <w:highlight w:val="none"/>
        </w:rPr>
        <w:t>51</w:t>
      </w:r>
      <w:r>
        <w:rPr>
          <w:rFonts w:ascii="Times New Roman" w:hAnsi="宋体" w:eastAsia="宋体" w:cs="Times New Roman"/>
          <w:color w:val="auto"/>
          <w:szCs w:val="21"/>
          <w:highlight w:val="none"/>
        </w:rPr>
        <w:t>和</w:t>
      </w:r>
      <w:r>
        <w:rPr>
          <w:rFonts w:ascii="Times New Roman" w:hAnsi="Times New Roman" w:eastAsia="宋体" w:cs="Times New Roman"/>
          <w:color w:val="auto"/>
          <w:szCs w:val="21"/>
          <w:highlight w:val="none"/>
        </w:rPr>
        <w:t>76</w:t>
      </w:r>
      <w:r>
        <w:rPr>
          <w:rFonts w:ascii="Times New Roman" w:hAnsi="宋体" w:eastAsia="宋体" w:cs="Times New Roman"/>
          <w:color w:val="auto"/>
          <w:szCs w:val="21"/>
          <w:highlight w:val="none"/>
        </w:rPr>
        <w:t>旁；径向两个，置于</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号和</w:t>
      </w:r>
      <w:r>
        <w:rPr>
          <w:rFonts w:ascii="Times New Roman" w:hAnsi="Times New Roman" w:eastAsia="宋体" w:cs="Times New Roman"/>
          <w:color w:val="auto"/>
          <w:szCs w:val="21"/>
          <w:highlight w:val="none"/>
        </w:rPr>
        <w:t>7</w:t>
      </w:r>
      <w:r>
        <w:rPr>
          <w:rFonts w:ascii="Times New Roman" w:hAnsi="宋体" w:eastAsia="宋体" w:cs="Times New Roman"/>
          <w:color w:val="auto"/>
          <w:szCs w:val="21"/>
          <w:highlight w:val="none"/>
        </w:rPr>
        <w:t>号支臂最外端立面上。</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测点分布如图</w:t>
      </w:r>
      <w:r>
        <w:rPr>
          <w:rFonts w:ascii="Times New Roman" w:hAnsi="Times New Roman" w:eastAsia="宋体" w:cs="Times New Roman"/>
          <w:color w:val="auto"/>
          <w:szCs w:val="21"/>
          <w:highlight w:val="none"/>
        </w:rPr>
        <w:t>C-2</w:t>
      </w:r>
      <w:r>
        <w:rPr>
          <w:rFonts w:ascii="Times New Roman" w:hAnsi="宋体" w:eastAsia="宋体" w:cs="Times New Roman"/>
          <w:color w:val="auto"/>
          <w:szCs w:val="21"/>
          <w:highlight w:val="none"/>
        </w:rPr>
        <w:t>：各支臂分布位置相同，现以</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号支臂为例展示测点分布，</w:t>
      </w:r>
      <w:r>
        <w:rPr>
          <w:rFonts w:ascii="Times New Roman" w:hAnsi="Times New Roman" w:eastAsia="宋体" w:cs="Times New Roman"/>
          <w:color w:val="auto"/>
          <w:szCs w:val="21"/>
          <w:highlight w:val="none"/>
        </w:rPr>
        <w:t>-Z</w:t>
      </w:r>
      <w:r>
        <w:rPr>
          <w:rFonts w:ascii="Times New Roman" w:hAnsi="宋体" w:eastAsia="宋体" w:cs="Times New Roman"/>
          <w:color w:val="auto"/>
          <w:szCs w:val="21"/>
          <w:highlight w:val="none"/>
        </w:rPr>
        <w:t>向测点为垂直激励点，自轴心向外径方向沿中心线布</w:t>
      </w:r>
      <w:r>
        <w:rPr>
          <w:rFonts w:ascii="Times New Roman" w:hAnsi="Times New Roman" w:eastAsia="宋体" w:cs="Times New Roman"/>
          <w:color w:val="auto"/>
          <w:szCs w:val="21"/>
          <w:highlight w:val="none"/>
        </w:rPr>
        <w:t>6</w:t>
      </w:r>
      <w:r>
        <w:rPr>
          <w:rFonts w:ascii="Times New Roman" w:hAnsi="宋体" w:eastAsia="宋体" w:cs="Times New Roman"/>
          <w:color w:val="auto"/>
          <w:szCs w:val="21"/>
          <w:highlight w:val="none"/>
        </w:rPr>
        <w:t>个，编号</w:t>
      </w:r>
      <w:r>
        <w:rPr>
          <w:rFonts w:ascii="Times New Roman" w:hAnsi="Times New Roman" w:eastAsia="宋体" w:cs="Times New Roman"/>
          <w:color w:val="auto"/>
          <w:szCs w:val="21"/>
          <w:highlight w:val="none"/>
        </w:rPr>
        <w:t>1~6</w:t>
      </w:r>
      <w:r>
        <w:rPr>
          <w:rFonts w:ascii="Times New Roman" w:hAnsi="宋体" w:eastAsia="宋体" w:cs="Times New Roman"/>
          <w:color w:val="auto"/>
          <w:szCs w:val="21"/>
          <w:highlight w:val="none"/>
        </w:rPr>
        <w:t>，规律为整个支臂两端及筋板处布置测点；</w:t>
      </w:r>
      <w:r>
        <w:rPr>
          <w:rFonts w:ascii="Times New Roman" w:hAnsi="Times New Roman" w:eastAsia="宋体" w:cs="Times New Roman"/>
          <w:color w:val="auto"/>
          <w:szCs w:val="21"/>
          <w:highlight w:val="none"/>
        </w:rPr>
        <w:t>-Y</w:t>
      </w:r>
      <w:r>
        <w:rPr>
          <w:rFonts w:ascii="Times New Roman" w:hAnsi="宋体" w:eastAsia="宋体" w:cs="Times New Roman"/>
          <w:color w:val="auto"/>
          <w:szCs w:val="21"/>
          <w:highlight w:val="none"/>
        </w:rPr>
        <w:t>向测点为水平激励点，自轴心向外径方向沿中心线布</w:t>
      </w:r>
      <w:r>
        <w:rPr>
          <w:rFonts w:ascii="Times New Roman" w:hAnsi="Times New Roman" w:eastAsia="宋体" w:cs="Times New Roman"/>
          <w:color w:val="auto"/>
          <w:szCs w:val="21"/>
          <w:highlight w:val="none"/>
        </w:rPr>
        <w:t>5</w:t>
      </w:r>
      <w:r>
        <w:rPr>
          <w:rFonts w:ascii="Times New Roman" w:hAnsi="宋体" w:eastAsia="宋体" w:cs="Times New Roman"/>
          <w:color w:val="auto"/>
          <w:szCs w:val="21"/>
          <w:highlight w:val="none"/>
        </w:rPr>
        <w:t>个点，编号</w:t>
      </w:r>
      <w:r>
        <w:rPr>
          <w:rFonts w:ascii="Times New Roman" w:hAnsi="Times New Roman" w:eastAsia="宋体" w:cs="Times New Roman"/>
          <w:color w:val="auto"/>
          <w:szCs w:val="21"/>
          <w:highlight w:val="none"/>
        </w:rPr>
        <w:t>49~53</w:t>
      </w:r>
      <w:r>
        <w:rPr>
          <w:rFonts w:ascii="Times New Roman" w:hAnsi="宋体" w:eastAsia="宋体" w:cs="Times New Roman"/>
          <w:color w:val="auto"/>
          <w:szCs w:val="21"/>
          <w:highlight w:val="none"/>
        </w:rPr>
        <w:t>，规律为整个支臂两端及筋板旁布置测点，高度上在中间位置；</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0" w:hRule="atLeast"/>
          <w:jc w:val="center"/>
        </w:trPr>
        <w:tc>
          <w:tcPr>
            <w:tcW w:w="4303" w:type="dxa"/>
            <w:noWrap w:val="0"/>
            <w:vAlign w:val="center"/>
          </w:tcPr>
          <w:p>
            <w:pPr>
              <w:jc w:val="center"/>
              <w:rPr>
                <w:rFonts w:ascii="Times New Roman" w:hAnsi="Times New Roman" w:cs="Times New Roman"/>
                <w:color w:val="auto"/>
                <w:highlight w:val="none"/>
              </w:rPr>
            </w:pPr>
            <w:r>
              <w:rPr>
                <w:color w:val="auto"/>
                <w:highlight w:val="none"/>
              </w:rPr>
              <w:drawing>
                <wp:inline distT="0" distB="0" distL="114300" distR="114300">
                  <wp:extent cx="2592070" cy="2006600"/>
                  <wp:effectExtent l="0" t="0" r="1143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2592070" cy="2006600"/>
                          </a:xfrm>
                          <a:prstGeom prst="rect">
                            <a:avLst/>
                          </a:prstGeom>
                          <a:noFill/>
                          <a:ln>
                            <a:noFill/>
                          </a:ln>
                        </pic:spPr>
                      </pic:pic>
                    </a:graphicData>
                  </a:graphic>
                </wp:inline>
              </w:drawing>
            </w:r>
          </w:p>
        </w:tc>
        <w:tc>
          <w:tcPr>
            <w:tcW w:w="4042" w:type="dxa"/>
            <w:noWrap w:val="0"/>
            <w:vAlign w:val="center"/>
          </w:tcPr>
          <w:p>
            <w:pPr>
              <w:jc w:val="center"/>
              <w:rPr>
                <w:rFonts w:ascii="Times New Roman" w:hAnsi="Times New Roman" w:cs="Times New Roman"/>
                <w:color w:val="auto"/>
                <w:highlight w:val="none"/>
              </w:rPr>
            </w:pPr>
            <w:r>
              <w:rPr>
                <w:color w:val="auto"/>
                <w:highlight w:val="none"/>
              </w:rPr>
              <w:drawing>
                <wp:inline distT="0" distB="0" distL="114300" distR="114300">
                  <wp:extent cx="2447925" cy="1064260"/>
                  <wp:effectExtent l="0" t="0" r="3175"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1"/>
                          <a:stretch>
                            <a:fillRect/>
                          </a:stretch>
                        </pic:blipFill>
                        <pic:spPr>
                          <a:xfrm>
                            <a:off x="0" y="0"/>
                            <a:ext cx="2447925" cy="10642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4303" w:type="dxa"/>
            <w:noWrap w:val="0"/>
            <w:vAlign w:val="top"/>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图C-1试验现场布置</w:t>
            </w:r>
          </w:p>
        </w:tc>
        <w:tc>
          <w:tcPr>
            <w:tcW w:w="4042" w:type="dxa"/>
            <w:noWrap w:val="0"/>
            <w:vAlign w:val="top"/>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图C-2上机架1号支臂激励点分布示意</w:t>
            </w:r>
          </w:p>
        </w:tc>
      </w:tr>
    </w:tbl>
    <w:p>
      <w:pPr>
        <w:pStyle w:val="19"/>
        <w:numPr>
          <w:ilvl w:val="0"/>
          <w:numId w:val="20"/>
        </w:numPr>
        <w:spacing w:beforeLines="100" w:afterLines="100"/>
        <w:ind w:left="0" w:firstLine="0"/>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敲击采样</w:t>
      </w:r>
    </w:p>
    <w:p>
      <w:pPr>
        <w:spacing w:line="288"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按编号顺序对每个测点进行3次合格采样，记录在软件内进行模态分析，查看试验结果。</w:t>
      </w:r>
    </w:p>
    <w:p>
      <w:pPr>
        <w:pStyle w:val="19"/>
        <w:numPr>
          <w:ilvl w:val="0"/>
          <w:numId w:val="19"/>
        </w:numPr>
        <w:spacing w:beforeLines="100" w:afterLines="100"/>
        <w:ind w:left="0" w:firstLine="0"/>
        <w:rPr>
          <w:rFonts w:ascii="黑体" w:hAnsi="黑体" w:eastAsia="黑体" w:cs="黑体"/>
          <w:bCs/>
          <w:color w:val="auto"/>
          <w:sz w:val="21"/>
          <w:szCs w:val="21"/>
          <w:highlight w:val="none"/>
        </w:rPr>
      </w:pPr>
      <w:bookmarkStart w:id="152" w:name="_Toc3973"/>
      <w:bookmarkStart w:id="153" w:name="_Toc102"/>
      <w:r>
        <w:rPr>
          <w:rFonts w:hint="eastAsia" w:ascii="黑体" w:hAnsi="黑体" w:eastAsia="黑体" w:cs="黑体"/>
          <w:bCs/>
          <w:color w:val="auto"/>
          <w:sz w:val="21"/>
          <w:szCs w:val="21"/>
          <w:highlight w:val="none"/>
        </w:rPr>
        <w:t>单支臂模态：</w:t>
      </w:r>
      <w:bookmarkEnd w:id="152"/>
      <w:bookmarkEnd w:id="153"/>
    </w:p>
    <w:p>
      <w:pPr>
        <w:pStyle w:val="19"/>
        <w:numPr>
          <w:ilvl w:val="0"/>
          <w:numId w:val="21"/>
        </w:numPr>
        <w:spacing w:beforeLines="100" w:afterLines="100"/>
        <w:ind w:left="0" w:firstLine="0"/>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测点选择</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激励点：选取一个支臂排布测点：垂直激励点</w:t>
      </w:r>
      <w:r>
        <w:rPr>
          <w:rFonts w:ascii="Times New Roman" w:hAnsi="Times New Roman" w:eastAsia="宋体" w:cs="Times New Roman"/>
          <w:color w:val="auto"/>
          <w:szCs w:val="21"/>
          <w:highlight w:val="none"/>
        </w:rPr>
        <w:t>40</w:t>
      </w:r>
      <w:r>
        <w:rPr>
          <w:rFonts w:ascii="Times New Roman" w:hAnsi="宋体" w:eastAsia="宋体" w:cs="Times New Roman"/>
          <w:color w:val="auto"/>
          <w:szCs w:val="21"/>
          <w:highlight w:val="none"/>
        </w:rPr>
        <w:t>个，敲击方向均为</w:t>
      </w:r>
      <w:r>
        <w:rPr>
          <w:rFonts w:ascii="Times New Roman" w:hAnsi="Times New Roman" w:eastAsia="宋体" w:cs="Times New Roman"/>
          <w:color w:val="auto"/>
          <w:szCs w:val="21"/>
          <w:highlight w:val="none"/>
        </w:rPr>
        <w:t>-Z</w:t>
      </w:r>
      <w:r>
        <w:rPr>
          <w:rFonts w:ascii="Times New Roman" w:hAnsi="宋体" w:eastAsia="宋体" w:cs="Times New Roman"/>
          <w:color w:val="auto"/>
          <w:szCs w:val="21"/>
          <w:highlight w:val="none"/>
        </w:rPr>
        <w:t>，编号</w:t>
      </w:r>
      <w:r>
        <w:rPr>
          <w:rFonts w:ascii="Times New Roman" w:hAnsi="Times New Roman" w:eastAsia="宋体" w:cs="Times New Roman"/>
          <w:color w:val="auto"/>
          <w:szCs w:val="21"/>
          <w:highlight w:val="none"/>
        </w:rPr>
        <w:t>1~40</w:t>
      </w:r>
      <w:r>
        <w:rPr>
          <w:rFonts w:ascii="Times New Roman" w:hAnsi="宋体" w:eastAsia="宋体" w:cs="Times New Roman"/>
          <w:color w:val="auto"/>
          <w:szCs w:val="21"/>
          <w:highlight w:val="none"/>
        </w:rPr>
        <w:t>，支臂顶板布</w:t>
      </w:r>
      <w:r>
        <w:rPr>
          <w:rFonts w:ascii="Times New Roman" w:hAnsi="Times New Roman" w:eastAsia="宋体" w:cs="Times New Roman"/>
          <w:color w:val="auto"/>
          <w:szCs w:val="21"/>
          <w:highlight w:val="none"/>
        </w:rPr>
        <w:t>24</w:t>
      </w:r>
      <w:r>
        <w:rPr>
          <w:rFonts w:ascii="Times New Roman" w:hAnsi="宋体" w:eastAsia="宋体" w:cs="Times New Roman"/>
          <w:color w:val="auto"/>
          <w:szCs w:val="21"/>
          <w:highlight w:val="none"/>
        </w:rPr>
        <w:t>个，底板布</w:t>
      </w:r>
      <w:r>
        <w:rPr>
          <w:rFonts w:ascii="Times New Roman" w:hAnsi="Times New Roman" w:eastAsia="宋体" w:cs="Times New Roman"/>
          <w:color w:val="auto"/>
          <w:szCs w:val="21"/>
          <w:highlight w:val="none"/>
        </w:rPr>
        <w:t>16</w:t>
      </w:r>
      <w:r>
        <w:rPr>
          <w:rFonts w:ascii="Times New Roman" w:hAnsi="宋体" w:eastAsia="宋体" w:cs="Times New Roman"/>
          <w:color w:val="auto"/>
          <w:szCs w:val="21"/>
          <w:highlight w:val="none"/>
        </w:rPr>
        <w:t>个；响应点：共四个传感器，均为垂直向传感器，分别置于激励点</w:t>
      </w:r>
      <w:r>
        <w:rPr>
          <w:rFonts w:ascii="Times New Roman" w:hAnsi="Times New Roman" w:eastAsia="宋体" w:cs="Times New Roman"/>
          <w:color w:val="auto"/>
          <w:szCs w:val="21"/>
          <w:highlight w:val="none"/>
        </w:rPr>
        <w:t>6</w:t>
      </w:r>
      <w:r>
        <w:rPr>
          <w:rFonts w:ascii="Times New Roman" w:hAnsi="宋体" w:eastAsia="宋体" w:cs="Times New Roman"/>
          <w:color w:val="auto"/>
          <w:szCs w:val="21"/>
          <w:highlight w:val="none"/>
        </w:rPr>
        <w:t>、</w:t>
      </w:r>
      <w:r>
        <w:rPr>
          <w:rFonts w:ascii="Times New Roman" w:hAnsi="Times New Roman" w:eastAsia="宋体" w:cs="Times New Roman"/>
          <w:color w:val="auto"/>
          <w:szCs w:val="21"/>
          <w:highlight w:val="none"/>
        </w:rPr>
        <w:t>10</w:t>
      </w:r>
      <w:r>
        <w:rPr>
          <w:rFonts w:ascii="Times New Roman" w:hAnsi="宋体" w:eastAsia="宋体" w:cs="Times New Roman"/>
          <w:color w:val="auto"/>
          <w:szCs w:val="21"/>
          <w:highlight w:val="none"/>
        </w:rPr>
        <w:t>、</w:t>
      </w:r>
      <w:r>
        <w:rPr>
          <w:rFonts w:ascii="Times New Roman" w:hAnsi="Times New Roman" w:eastAsia="宋体" w:cs="Times New Roman"/>
          <w:color w:val="auto"/>
          <w:szCs w:val="21"/>
          <w:highlight w:val="none"/>
        </w:rPr>
        <w:t>13</w:t>
      </w:r>
      <w:r>
        <w:rPr>
          <w:rFonts w:ascii="Times New Roman" w:hAnsi="宋体" w:eastAsia="宋体" w:cs="Times New Roman"/>
          <w:color w:val="auto"/>
          <w:szCs w:val="21"/>
          <w:highlight w:val="none"/>
        </w:rPr>
        <w:t>和</w:t>
      </w:r>
      <w:r>
        <w:rPr>
          <w:rFonts w:ascii="Times New Roman" w:hAnsi="Times New Roman" w:eastAsia="宋体" w:cs="Times New Roman"/>
          <w:color w:val="auto"/>
          <w:szCs w:val="21"/>
          <w:highlight w:val="none"/>
        </w:rPr>
        <w:t>15</w:t>
      </w:r>
      <w:r>
        <w:rPr>
          <w:rFonts w:ascii="Times New Roman" w:hAnsi="宋体" w:eastAsia="宋体" w:cs="Times New Roman"/>
          <w:color w:val="auto"/>
          <w:szCs w:val="21"/>
          <w:highlight w:val="none"/>
        </w:rPr>
        <w:t>旁。</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测点分布如图</w:t>
      </w:r>
      <w:r>
        <w:rPr>
          <w:rFonts w:ascii="Times New Roman" w:hAnsi="Times New Roman" w:eastAsia="宋体" w:cs="Times New Roman"/>
          <w:color w:val="auto"/>
          <w:szCs w:val="21"/>
          <w:highlight w:val="none"/>
        </w:rPr>
        <w:t>C-3</w:t>
      </w:r>
      <w:r>
        <w:rPr>
          <w:rFonts w:ascii="Times New Roman" w:hAnsi="宋体" w:eastAsia="宋体" w:cs="Times New Roman"/>
          <w:color w:val="auto"/>
          <w:szCs w:val="21"/>
          <w:highlight w:val="none"/>
        </w:rPr>
        <w:t>：顶板及底板测点为垂直激励点，自轴心向外径方向分布，其中：顶板沿半径向均布</w:t>
      </w:r>
      <w:r>
        <w:rPr>
          <w:rFonts w:ascii="Times New Roman" w:hAnsi="Times New Roman" w:eastAsia="宋体" w:cs="Times New Roman"/>
          <w:color w:val="auto"/>
          <w:szCs w:val="21"/>
          <w:highlight w:val="none"/>
        </w:rPr>
        <w:t>8</w:t>
      </w:r>
      <w:r>
        <w:rPr>
          <w:rFonts w:ascii="Times New Roman" w:hAnsi="宋体" w:eastAsia="宋体" w:cs="Times New Roman"/>
          <w:color w:val="auto"/>
          <w:szCs w:val="21"/>
          <w:highlight w:val="none"/>
        </w:rPr>
        <w:t>列，每列</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个，共</w:t>
      </w:r>
      <w:r>
        <w:rPr>
          <w:rFonts w:ascii="Times New Roman" w:hAnsi="Times New Roman" w:eastAsia="宋体" w:cs="Times New Roman"/>
          <w:color w:val="auto"/>
          <w:szCs w:val="21"/>
          <w:highlight w:val="none"/>
        </w:rPr>
        <w:t>24</w:t>
      </w:r>
      <w:r>
        <w:rPr>
          <w:rFonts w:ascii="Times New Roman" w:hAnsi="宋体" w:eastAsia="宋体" w:cs="Times New Roman"/>
          <w:color w:val="auto"/>
          <w:szCs w:val="21"/>
          <w:highlight w:val="none"/>
        </w:rPr>
        <w:t>个，编号</w:t>
      </w:r>
      <w:r>
        <w:rPr>
          <w:rFonts w:ascii="Times New Roman" w:hAnsi="Times New Roman" w:eastAsia="宋体" w:cs="Times New Roman"/>
          <w:color w:val="auto"/>
          <w:szCs w:val="21"/>
          <w:highlight w:val="none"/>
        </w:rPr>
        <w:t>1~24</w:t>
      </w:r>
      <w:r>
        <w:rPr>
          <w:rFonts w:ascii="Times New Roman" w:hAnsi="宋体" w:eastAsia="宋体" w:cs="Times New Roman"/>
          <w:color w:val="auto"/>
          <w:szCs w:val="21"/>
          <w:highlight w:val="none"/>
        </w:rPr>
        <w:t>；底板沿半径向均布</w:t>
      </w:r>
      <w:r>
        <w:rPr>
          <w:rFonts w:ascii="Times New Roman" w:hAnsi="Times New Roman" w:eastAsia="宋体" w:cs="Times New Roman"/>
          <w:color w:val="auto"/>
          <w:szCs w:val="21"/>
          <w:highlight w:val="none"/>
        </w:rPr>
        <w:t>8</w:t>
      </w:r>
      <w:r>
        <w:rPr>
          <w:rFonts w:ascii="Times New Roman" w:hAnsi="宋体" w:eastAsia="宋体" w:cs="Times New Roman"/>
          <w:color w:val="auto"/>
          <w:szCs w:val="21"/>
          <w:highlight w:val="none"/>
        </w:rPr>
        <w:t>列，每列</w:t>
      </w:r>
      <w:r>
        <w:rPr>
          <w:rFonts w:ascii="Times New Roman" w:hAnsi="Times New Roman" w:eastAsia="宋体" w:cs="Times New Roman"/>
          <w:color w:val="auto"/>
          <w:szCs w:val="21"/>
          <w:highlight w:val="none"/>
        </w:rPr>
        <w:t>2</w:t>
      </w:r>
      <w:r>
        <w:rPr>
          <w:rFonts w:ascii="Times New Roman" w:hAnsi="宋体" w:eastAsia="宋体" w:cs="Times New Roman"/>
          <w:color w:val="auto"/>
          <w:szCs w:val="21"/>
          <w:highlight w:val="none"/>
        </w:rPr>
        <w:t>个，共</w:t>
      </w:r>
      <w:r>
        <w:rPr>
          <w:rFonts w:ascii="Times New Roman" w:hAnsi="Times New Roman" w:eastAsia="宋体" w:cs="Times New Roman"/>
          <w:color w:val="auto"/>
          <w:szCs w:val="21"/>
          <w:highlight w:val="none"/>
        </w:rPr>
        <w:t>16</w:t>
      </w:r>
      <w:r>
        <w:rPr>
          <w:rFonts w:ascii="Times New Roman" w:hAnsi="宋体" w:eastAsia="宋体" w:cs="Times New Roman"/>
          <w:color w:val="auto"/>
          <w:szCs w:val="21"/>
          <w:highlight w:val="none"/>
        </w:rPr>
        <w:t>个，编号</w:t>
      </w:r>
      <w:r>
        <w:rPr>
          <w:rFonts w:ascii="Times New Roman" w:hAnsi="Times New Roman" w:eastAsia="宋体" w:cs="Times New Roman"/>
          <w:color w:val="auto"/>
          <w:szCs w:val="21"/>
          <w:highlight w:val="none"/>
        </w:rPr>
        <w:t>25~40</w:t>
      </w:r>
      <w:r>
        <w:rPr>
          <w:rFonts w:ascii="Times New Roman" w:hAnsi="宋体" w:eastAsia="宋体" w:cs="Times New Roman"/>
          <w:color w:val="auto"/>
          <w:szCs w:val="21"/>
          <w:highlight w:val="none"/>
        </w:rPr>
        <w:t>。</w:t>
      </w:r>
    </w:p>
    <w:tbl>
      <w:tblPr>
        <w:tblStyle w:val="13"/>
        <w:tblW w:w="84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6" w:hRule="atLeast"/>
          <w:jc w:val="center"/>
        </w:trPr>
        <w:tc>
          <w:tcPr>
            <w:tcW w:w="8492" w:type="dxa"/>
            <w:noWrap w:val="0"/>
            <w:vAlign w:val="center"/>
          </w:tcPr>
          <w:p>
            <w:pPr>
              <w:jc w:val="center"/>
              <w:rPr>
                <w:rFonts w:ascii="Times New Roman" w:hAnsi="Times New Roman" w:cs="Times New Roman"/>
                <w:color w:val="auto"/>
                <w:highlight w:val="none"/>
              </w:rPr>
            </w:pPr>
            <w:r>
              <w:rPr>
                <w:color w:val="auto"/>
                <w:highlight w:val="none"/>
              </w:rPr>
              <w:drawing>
                <wp:inline distT="0" distB="0" distL="114300" distR="114300">
                  <wp:extent cx="5039995" cy="1772285"/>
                  <wp:effectExtent l="0" t="0" r="1905" b="57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2"/>
                          <a:stretch>
                            <a:fillRect/>
                          </a:stretch>
                        </pic:blipFill>
                        <pic:spPr>
                          <a:xfrm>
                            <a:off x="0" y="0"/>
                            <a:ext cx="5039995" cy="17722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8492" w:type="dxa"/>
            <w:noWrap w:val="0"/>
            <w:vAlign w:val="top"/>
          </w:tcPr>
          <w:p>
            <w:pPr>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039995" cy="2148205"/>
                  <wp:effectExtent l="0" t="0" r="1905" b="1079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3">
                            <a:grayscl/>
                          </a:blip>
                          <a:stretch>
                            <a:fillRect/>
                          </a:stretch>
                        </pic:blipFill>
                        <pic:spPr>
                          <a:xfrm>
                            <a:off x="0" y="0"/>
                            <a:ext cx="5039995" cy="21482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92" w:type="dxa"/>
            <w:noWrap w:val="0"/>
            <w:vAlign w:val="top"/>
          </w:tcPr>
          <w:p>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图C-3 上机架单个支臂水平扭转激励点分布示意</w:t>
            </w:r>
          </w:p>
        </w:tc>
      </w:tr>
    </w:tbl>
    <w:p>
      <w:pPr>
        <w:pStyle w:val="19"/>
        <w:numPr>
          <w:ilvl w:val="0"/>
          <w:numId w:val="21"/>
        </w:numPr>
        <w:spacing w:beforeLines="100" w:afterLines="100"/>
        <w:ind w:left="0" w:firstLine="0"/>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敲击采样</w:t>
      </w:r>
    </w:p>
    <w:p>
      <w:pPr>
        <w:spacing w:line="288"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按编号顺序对每个测点</w:t>
      </w:r>
      <w:r>
        <w:rPr>
          <w:rFonts w:ascii="Times New Roman" w:hAnsi="宋体" w:eastAsia="宋体" w:cs="Times New Roman"/>
          <w:color w:val="auto"/>
          <w:szCs w:val="21"/>
          <w:highlight w:val="none"/>
        </w:rPr>
        <w:t>进行</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次合格</w:t>
      </w:r>
      <w:r>
        <w:rPr>
          <w:rFonts w:hint="eastAsia" w:ascii="宋体" w:hAnsi="宋体" w:eastAsia="宋体" w:cs="宋体"/>
          <w:color w:val="auto"/>
          <w:szCs w:val="21"/>
          <w:highlight w:val="none"/>
        </w:rPr>
        <w:t>采样，记录在软件内进行模态分析，查看试验结果。</w:t>
      </w:r>
    </w:p>
    <w:p>
      <w:pPr>
        <w:pStyle w:val="19"/>
        <w:numPr>
          <w:ilvl w:val="0"/>
          <w:numId w:val="19"/>
        </w:numPr>
        <w:spacing w:beforeLines="100" w:afterLines="100"/>
        <w:ind w:left="0" w:firstLine="0"/>
        <w:rPr>
          <w:rFonts w:ascii="黑体" w:hAnsi="黑体" w:eastAsia="黑体" w:cs="黑体"/>
          <w:b/>
          <w:bCs/>
          <w:color w:val="auto"/>
          <w:sz w:val="21"/>
          <w:szCs w:val="21"/>
          <w:highlight w:val="none"/>
        </w:rPr>
      </w:pPr>
      <w:bookmarkStart w:id="154" w:name="_Toc24863"/>
      <w:bookmarkStart w:id="155" w:name="_Toc9659"/>
      <w:r>
        <w:rPr>
          <w:rFonts w:hint="eastAsia" w:ascii="黑体" w:hAnsi="黑体" w:eastAsia="黑体" w:cs="黑体"/>
          <w:bCs/>
          <w:color w:val="auto"/>
          <w:sz w:val="21"/>
          <w:szCs w:val="21"/>
          <w:highlight w:val="none"/>
        </w:rPr>
        <w:t>径向频率试验：</w:t>
      </w:r>
      <w:bookmarkEnd w:id="154"/>
      <w:bookmarkEnd w:id="155"/>
    </w:p>
    <w:p>
      <w:pPr>
        <w:pStyle w:val="19"/>
        <w:numPr>
          <w:ilvl w:val="0"/>
          <w:numId w:val="22"/>
        </w:numPr>
        <w:spacing w:beforeLines="100" w:afterLines="100"/>
        <w:ind w:left="0" w:firstLine="0"/>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测点选择</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响应点：选</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号和</w:t>
      </w:r>
      <w:r>
        <w:rPr>
          <w:rFonts w:ascii="Times New Roman" w:hAnsi="Times New Roman" w:eastAsia="宋体" w:cs="Times New Roman"/>
          <w:color w:val="auto"/>
          <w:szCs w:val="21"/>
          <w:highlight w:val="none"/>
        </w:rPr>
        <w:t>8</w:t>
      </w:r>
      <w:r>
        <w:rPr>
          <w:rFonts w:ascii="Times New Roman" w:hAnsi="宋体" w:eastAsia="宋体" w:cs="Times New Roman"/>
          <w:color w:val="auto"/>
          <w:szCs w:val="21"/>
          <w:highlight w:val="none"/>
        </w:rPr>
        <w:t>号支臂排布响应点，共四个响应点，测点分布如图</w:t>
      </w:r>
      <w:r>
        <w:rPr>
          <w:rFonts w:ascii="Times New Roman" w:hAnsi="Times New Roman" w:eastAsia="宋体" w:cs="Times New Roman"/>
          <w:color w:val="auto"/>
          <w:szCs w:val="21"/>
          <w:highlight w:val="none"/>
        </w:rPr>
        <w:t>C-4</w:t>
      </w:r>
      <w:r>
        <w:rPr>
          <w:rFonts w:ascii="Times New Roman" w:hAnsi="宋体" w:eastAsia="宋体" w:cs="Times New Roman"/>
          <w:color w:val="auto"/>
          <w:szCs w:val="21"/>
          <w:highlight w:val="none"/>
        </w:rPr>
        <w:t>，垂直向一个（传感器</w:t>
      </w:r>
      <w:r>
        <w:rPr>
          <w:rFonts w:ascii="Times New Roman" w:hAnsi="Times New Roman" w:eastAsia="宋体" w:cs="Times New Roman"/>
          <w:color w:val="auto"/>
          <w:szCs w:val="21"/>
          <w:highlight w:val="none"/>
        </w:rPr>
        <w:t>2</w:t>
      </w:r>
      <w:r>
        <w:rPr>
          <w:rFonts w:ascii="Times New Roman" w:hAnsi="宋体" w:eastAsia="宋体" w:cs="Times New Roman"/>
          <w:color w:val="auto"/>
          <w:szCs w:val="21"/>
          <w:highlight w:val="none"/>
        </w:rPr>
        <w:t>），切向一个（传感器</w:t>
      </w:r>
      <w:r>
        <w:rPr>
          <w:rFonts w:ascii="Times New Roman" w:hAnsi="Times New Roman" w:eastAsia="宋体" w:cs="Times New Roman"/>
          <w:color w:val="auto"/>
          <w:szCs w:val="21"/>
          <w:highlight w:val="none"/>
        </w:rPr>
        <w:t>4</w:t>
      </w:r>
      <w:r>
        <w:rPr>
          <w:rFonts w:ascii="Times New Roman" w:hAnsi="宋体" w:eastAsia="宋体" w:cs="Times New Roman"/>
          <w:color w:val="auto"/>
          <w:szCs w:val="21"/>
          <w:highlight w:val="none"/>
        </w:rPr>
        <w:t>），径向两个（传感器</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和</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）。其中传感器</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在</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号支臂，其余三个在</w:t>
      </w:r>
      <w:r>
        <w:rPr>
          <w:rFonts w:ascii="Times New Roman" w:hAnsi="Times New Roman" w:eastAsia="宋体" w:cs="Times New Roman"/>
          <w:color w:val="auto"/>
          <w:szCs w:val="21"/>
          <w:highlight w:val="none"/>
        </w:rPr>
        <w:t>8</w:t>
      </w:r>
      <w:r>
        <w:rPr>
          <w:rFonts w:ascii="Times New Roman" w:hAnsi="宋体" w:eastAsia="宋体" w:cs="Times New Roman"/>
          <w:color w:val="auto"/>
          <w:szCs w:val="21"/>
          <w:highlight w:val="none"/>
        </w:rPr>
        <w:t>号支臂；激励点：选</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号和</w:t>
      </w:r>
      <w:r>
        <w:rPr>
          <w:rFonts w:ascii="Times New Roman" w:hAnsi="Times New Roman" w:eastAsia="宋体" w:cs="Times New Roman"/>
          <w:color w:val="auto"/>
          <w:szCs w:val="21"/>
          <w:highlight w:val="none"/>
        </w:rPr>
        <w:t>8</w:t>
      </w:r>
      <w:r>
        <w:rPr>
          <w:rFonts w:ascii="Times New Roman" w:hAnsi="宋体" w:eastAsia="宋体" w:cs="Times New Roman"/>
          <w:color w:val="auto"/>
          <w:szCs w:val="21"/>
          <w:highlight w:val="none"/>
        </w:rPr>
        <w:t>号支臂排布激励点：垂直激励点</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个，在传感器</w:t>
      </w:r>
      <w:r>
        <w:rPr>
          <w:rFonts w:ascii="Times New Roman" w:hAnsi="Times New Roman" w:eastAsia="宋体" w:cs="Times New Roman"/>
          <w:color w:val="auto"/>
          <w:szCs w:val="21"/>
          <w:highlight w:val="none"/>
        </w:rPr>
        <w:t>2</w:t>
      </w:r>
      <w:r>
        <w:rPr>
          <w:rFonts w:ascii="Times New Roman" w:hAnsi="宋体" w:eastAsia="宋体" w:cs="Times New Roman"/>
          <w:color w:val="auto"/>
          <w:szCs w:val="21"/>
          <w:highlight w:val="none"/>
        </w:rPr>
        <w:t>旁，敲击方向为</w:t>
      </w:r>
      <w:r>
        <w:rPr>
          <w:rFonts w:ascii="Times New Roman" w:hAnsi="Times New Roman" w:eastAsia="宋体" w:cs="Times New Roman"/>
          <w:color w:val="auto"/>
          <w:szCs w:val="21"/>
          <w:highlight w:val="none"/>
        </w:rPr>
        <w:t>-Z</w:t>
      </w:r>
      <w:r>
        <w:rPr>
          <w:rFonts w:ascii="Times New Roman" w:hAnsi="宋体" w:eastAsia="宋体" w:cs="Times New Roman"/>
          <w:color w:val="auto"/>
          <w:szCs w:val="21"/>
          <w:highlight w:val="none"/>
        </w:rPr>
        <w:t>；切向激励点</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个，在传感器</w:t>
      </w:r>
      <w:r>
        <w:rPr>
          <w:rFonts w:ascii="Times New Roman" w:hAnsi="Times New Roman" w:eastAsia="宋体" w:cs="Times New Roman"/>
          <w:color w:val="auto"/>
          <w:szCs w:val="21"/>
          <w:highlight w:val="none"/>
        </w:rPr>
        <w:t>4</w:t>
      </w:r>
      <w:r>
        <w:rPr>
          <w:rFonts w:ascii="Times New Roman" w:hAnsi="宋体" w:eastAsia="宋体" w:cs="Times New Roman"/>
          <w:color w:val="auto"/>
          <w:szCs w:val="21"/>
          <w:highlight w:val="none"/>
        </w:rPr>
        <w:t>旁，敲击方向为</w:t>
      </w:r>
      <w:r>
        <w:rPr>
          <w:rFonts w:ascii="Times New Roman" w:hAnsi="Times New Roman" w:eastAsia="宋体" w:cs="Times New Roman"/>
          <w:color w:val="auto"/>
          <w:szCs w:val="21"/>
          <w:highlight w:val="none"/>
        </w:rPr>
        <w:t>-Y</w:t>
      </w:r>
      <w:r>
        <w:rPr>
          <w:rFonts w:ascii="Times New Roman" w:hAnsi="宋体" w:eastAsia="宋体" w:cs="Times New Roman"/>
          <w:color w:val="auto"/>
          <w:szCs w:val="21"/>
          <w:highlight w:val="none"/>
        </w:rPr>
        <w:t>；径向激励点</w:t>
      </w:r>
      <w:r>
        <w:rPr>
          <w:rFonts w:ascii="Times New Roman" w:hAnsi="Times New Roman" w:eastAsia="宋体" w:cs="Times New Roman"/>
          <w:color w:val="auto"/>
          <w:szCs w:val="21"/>
          <w:highlight w:val="none"/>
        </w:rPr>
        <w:t>2</w:t>
      </w:r>
      <w:r>
        <w:rPr>
          <w:rFonts w:ascii="Times New Roman" w:hAnsi="宋体" w:eastAsia="宋体" w:cs="Times New Roman"/>
          <w:color w:val="auto"/>
          <w:szCs w:val="21"/>
          <w:highlight w:val="none"/>
        </w:rPr>
        <w:t>个，在传感器</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和</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旁，敲击方向为</w:t>
      </w:r>
      <w:r>
        <w:rPr>
          <w:rFonts w:ascii="Times New Roman" w:hAnsi="Times New Roman" w:eastAsia="宋体" w:cs="Times New Roman"/>
          <w:color w:val="auto"/>
          <w:szCs w:val="21"/>
          <w:highlight w:val="none"/>
        </w:rPr>
        <w:t>-X</w:t>
      </w:r>
      <w:r>
        <w:rPr>
          <w:rFonts w:ascii="Times New Roman" w:hAnsi="宋体" w:eastAsia="宋体" w:cs="Times New Roman"/>
          <w:color w:val="auto"/>
          <w:szCs w:val="21"/>
          <w:highlight w:val="none"/>
        </w:rPr>
        <w:t>。</w:t>
      </w:r>
    </w:p>
    <w:tbl>
      <w:tblPr>
        <w:tblStyle w:val="13"/>
        <w:tblW w:w="8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9"/>
        <w:gridCol w:w="4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169" w:type="dxa"/>
            <w:noWrap w:val="0"/>
            <w:vAlign w:val="center"/>
          </w:tcPr>
          <w:p>
            <w:pPr>
              <w:jc w:val="center"/>
              <w:rPr>
                <w:rFonts w:ascii="Times New Roman" w:hAnsi="Times New Roman" w:cs="Times New Roman"/>
                <w:color w:val="auto"/>
                <w:highlight w:val="none"/>
              </w:rPr>
            </w:pPr>
            <w:r>
              <w:rPr>
                <w:color w:val="auto"/>
                <w:highlight w:val="none"/>
              </w:rPr>
              <w:drawing>
                <wp:inline distT="0" distB="0" distL="114300" distR="114300">
                  <wp:extent cx="2520315" cy="1609090"/>
                  <wp:effectExtent l="0" t="0" r="6985" b="381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4"/>
                          <a:stretch>
                            <a:fillRect/>
                          </a:stretch>
                        </pic:blipFill>
                        <pic:spPr>
                          <a:xfrm>
                            <a:off x="0" y="0"/>
                            <a:ext cx="2520315" cy="1609090"/>
                          </a:xfrm>
                          <a:prstGeom prst="rect">
                            <a:avLst/>
                          </a:prstGeom>
                          <a:noFill/>
                          <a:ln>
                            <a:noFill/>
                          </a:ln>
                        </pic:spPr>
                      </pic:pic>
                    </a:graphicData>
                  </a:graphic>
                </wp:inline>
              </w:drawing>
            </w:r>
          </w:p>
        </w:tc>
        <w:tc>
          <w:tcPr>
            <w:tcW w:w="4091" w:type="dxa"/>
            <w:noWrap w:val="0"/>
            <w:vAlign w:val="center"/>
          </w:tcPr>
          <w:p>
            <w:pPr>
              <w:jc w:val="center"/>
              <w:rPr>
                <w:rFonts w:ascii="Times New Roman" w:hAnsi="Times New Roman" w:cs="Times New Roman"/>
                <w:color w:val="auto"/>
                <w:highlight w:val="none"/>
              </w:rPr>
            </w:pPr>
            <w:r>
              <w:rPr>
                <w:color w:val="auto"/>
                <w:highlight w:val="none"/>
              </w:rPr>
              <w:drawing>
                <wp:inline distT="0" distB="0" distL="114300" distR="114300">
                  <wp:extent cx="2520315" cy="1301750"/>
                  <wp:effectExtent l="0" t="0" r="6985" b="635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5"/>
                          <a:stretch>
                            <a:fillRect/>
                          </a:stretch>
                        </pic:blipFill>
                        <pic:spPr>
                          <a:xfrm>
                            <a:off x="0" y="0"/>
                            <a:ext cx="2520315" cy="1301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jc w:val="center"/>
        </w:trPr>
        <w:tc>
          <w:tcPr>
            <w:tcW w:w="4169" w:type="dxa"/>
            <w:noWrap w:val="0"/>
            <w:vAlign w:val="center"/>
          </w:tcPr>
          <w:p>
            <w:pPr>
              <w:spacing w:line="240" w:lineRule="atLeast"/>
              <w:jc w:val="center"/>
              <w:rPr>
                <w:rFonts w:ascii="Times New Roman" w:hAnsi="Times New Roman" w:cs="Times New Roman"/>
                <w:color w:val="auto"/>
                <w:highlight w:val="none"/>
              </w:rPr>
            </w:pPr>
            <w:r>
              <w:rPr>
                <w:color w:val="auto"/>
                <w:highlight w:val="none"/>
              </w:rPr>
              <w:drawing>
                <wp:inline distT="0" distB="0" distL="114300" distR="114300">
                  <wp:extent cx="2520315" cy="854710"/>
                  <wp:effectExtent l="0" t="0" r="6985" b="889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6"/>
                          <a:stretch>
                            <a:fillRect/>
                          </a:stretch>
                        </pic:blipFill>
                        <pic:spPr>
                          <a:xfrm>
                            <a:off x="0" y="0"/>
                            <a:ext cx="2520315" cy="854710"/>
                          </a:xfrm>
                          <a:prstGeom prst="rect">
                            <a:avLst/>
                          </a:prstGeom>
                          <a:noFill/>
                          <a:ln>
                            <a:noFill/>
                          </a:ln>
                        </pic:spPr>
                      </pic:pic>
                    </a:graphicData>
                  </a:graphic>
                </wp:inline>
              </w:drawing>
            </w:r>
          </w:p>
        </w:tc>
        <w:tc>
          <w:tcPr>
            <w:tcW w:w="4091" w:type="dxa"/>
            <w:noWrap w:val="0"/>
            <w:vAlign w:val="center"/>
          </w:tcPr>
          <w:p>
            <w:pPr>
              <w:spacing w:line="240" w:lineRule="atLeast"/>
              <w:jc w:val="center"/>
              <w:rPr>
                <w:rFonts w:ascii="Times New Roman" w:hAnsi="Times New Roman" w:cs="Times New Roman"/>
                <w:color w:val="auto"/>
                <w:highlight w:val="none"/>
              </w:rPr>
            </w:pPr>
            <w:r>
              <w:rPr>
                <w:color w:val="auto"/>
                <w:highlight w:val="none"/>
              </w:rPr>
              <w:drawing>
                <wp:inline distT="0" distB="0" distL="114300" distR="114300">
                  <wp:extent cx="2520315" cy="1160145"/>
                  <wp:effectExtent l="0" t="0" r="6985" b="825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7"/>
                          <a:stretch>
                            <a:fillRect/>
                          </a:stretch>
                        </pic:blipFill>
                        <pic:spPr>
                          <a:xfrm>
                            <a:off x="0" y="0"/>
                            <a:ext cx="2520315" cy="11601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260" w:type="dxa"/>
            <w:gridSpan w:val="2"/>
            <w:noWrap w:val="0"/>
            <w:vAlign w:val="top"/>
          </w:tcPr>
          <w:p>
            <w:pPr>
              <w:spacing w:afterLines="50"/>
              <w:jc w:val="center"/>
              <w:rPr>
                <w:rFonts w:ascii="黑体" w:hAnsi="黑体" w:eastAsia="黑体" w:cs="黑体"/>
                <w:color w:val="auto"/>
                <w:szCs w:val="21"/>
                <w:highlight w:val="none"/>
              </w:rPr>
            </w:pPr>
            <w:r>
              <w:rPr>
                <w:rFonts w:hint="eastAsia" w:ascii="黑体" w:hAnsi="黑体" w:eastAsia="黑体" w:cs="黑体"/>
                <w:color w:val="auto"/>
                <w:szCs w:val="21"/>
                <w:highlight w:val="none"/>
              </w:rPr>
              <w:t>图C-4 上机架支臂径向敲击响应点分布示意</w:t>
            </w:r>
          </w:p>
        </w:tc>
      </w:tr>
    </w:tbl>
    <w:p>
      <w:pPr>
        <w:pStyle w:val="19"/>
        <w:numPr>
          <w:ilvl w:val="0"/>
          <w:numId w:val="22"/>
        </w:numPr>
        <w:spacing w:beforeLines="100" w:afterLines="100"/>
        <w:ind w:left="0" w:firstLine="0"/>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敲击采样</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按编号顺序对每个测点进行</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次合格采样，记录在软件内进行模态分析，查看试验结果。</w:t>
      </w:r>
    </w:p>
    <w:p>
      <w:pPr>
        <w:pStyle w:val="18"/>
        <w:numPr>
          <w:ilvl w:val="0"/>
          <w:numId w:val="18"/>
        </w:numPr>
        <w:spacing w:beforeLines="100" w:afterLines="100" w:line="240" w:lineRule="auto"/>
        <w:ind w:left="6" w:hanging="6"/>
        <w:jc w:val="left"/>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试验结果</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分析实验数据得到前</w:t>
      </w:r>
      <w:r>
        <w:rPr>
          <w:rFonts w:ascii="Times New Roman" w:hAnsi="Times New Roman" w:eastAsia="宋体" w:cs="Times New Roman"/>
          <w:color w:val="auto"/>
          <w:szCs w:val="21"/>
          <w:highlight w:val="none"/>
        </w:rPr>
        <w:t>7</w:t>
      </w:r>
      <w:r>
        <w:rPr>
          <w:rFonts w:ascii="Times New Roman" w:hAnsi="宋体" w:eastAsia="宋体" w:cs="Times New Roman"/>
          <w:color w:val="auto"/>
          <w:szCs w:val="21"/>
          <w:highlight w:val="none"/>
        </w:rPr>
        <w:t>阶模态频率见表</w:t>
      </w:r>
      <w:r>
        <w:rPr>
          <w:rFonts w:ascii="Times New Roman" w:hAnsi="Times New Roman" w:eastAsia="宋体" w:cs="Times New Roman"/>
          <w:color w:val="auto"/>
          <w:szCs w:val="21"/>
          <w:highlight w:val="none"/>
        </w:rPr>
        <w:t>C-1</w:t>
      </w:r>
      <w:r>
        <w:rPr>
          <w:rFonts w:ascii="Times New Roman" w:hAnsi="宋体" w:eastAsia="宋体" w:cs="Times New Roman"/>
          <w:color w:val="auto"/>
          <w:szCs w:val="21"/>
          <w:highlight w:val="none"/>
        </w:rPr>
        <w:t>，</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种特征振型及单臂扭转振型如下图</w:t>
      </w:r>
      <w:r>
        <w:rPr>
          <w:rFonts w:ascii="Times New Roman" w:hAnsi="Times New Roman" w:eastAsia="宋体" w:cs="Times New Roman"/>
          <w:color w:val="auto"/>
          <w:szCs w:val="21"/>
          <w:highlight w:val="none"/>
        </w:rPr>
        <w:t>C-5~8</w:t>
      </w:r>
      <w:r>
        <w:rPr>
          <w:rFonts w:ascii="Times New Roman" w:hAnsi="宋体" w:eastAsia="宋体" w:cs="Times New Roman"/>
          <w:color w:val="auto"/>
          <w:szCs w:val="21"/>
          <w:highlight w:val="none"/>
        </w:rPr>
        <w:t>：</w:t>
      </w:r>
    </w:p>
    <w:p>
      <w:pPr>
        <w:pStyle w:val="11"/>
        <w:spacing w:after="0"/>
        <w:ind w:firstLine="0" w:firstLineChars="0"/>
        <w:jc w:val="center"/>
        <w:rPr>
          <w:rFonts w:ascii="黑体" w:hAnsi="黑体" w:eastAsia="黑体" w:cs="黑体"/>
          <w:color w:val="auto"/>
          <w:szCs w:val="21"/>
          <w:highlight w:val="none"/>
        </w:rPr>
      </w:pPr>
      <w:r>
        <w:rPr>
          <w:rFonts w:ascii="黑体" w:hAnsi="黑体" w:eastAsia="黑体" w:cs="黑体"/>
          <w:color w:val="auto"/>
          <w:szCs w:val="21"/>
          <w:highlight w:val="none"/>
        </w:rPr>
        <w:t>表</w:t>
      </w:r>
      <w:r>
        <w:rPr>
          <w:rFonts w:hint="eastAsia" w:ascii="黑体" w:hAnsi="黑体" w:eastAsia="黑体" w:cs="黑体"/>
          <w:color w:val="auto"/>
          <w:szCs w:val="21"/>
          <w:highlight w:val="none"/>
        </w:rPr>
        <w:t>C-</w:t>
      </w:r>
      <w:r>
        <w:rPr>
          <w:rFonts w:ascii="黑体" w:hAnsi="黑体" w:eastAsia="黑体" w:cs="黑体"/>
          <w:color w:val="auto"/>
          <w:szCs w:val="21"/>
          <w:highlight w:val="none"/>
        </w:rPr>
        <w:t>1</w:t>
      </w:r>
      <w:r>
        <w:rPr>
          <w:rFonts w:hint="eastAsia" w:ascii="黑体" w:hAnsi="黑体" w:eastAsia="黑体" w:cs="黑体"/>
          <w:color w:val="auto"/>
          <w:szCs w:val="21"/>
          <w:highlight w:val="none"/>
        </w:rPr>
        <w:t xml:space="preserve"> </w:t>
      </w:r>
      <w:r>
        <w:rPr>
          <w:rFonts w:ascii="黑体" w:hAnsi="黑体" w:eastAsia="黑体" w:cs="黑体"/>
          <w:color w:val="auto"/>
          <w:szCs w:val="21"/>
          <w:highlight w:val="none"/>
        </w:rPr>
        <w:t>上机架模态频率</w:t>
      </w:r>
    </w:p>
    <w:tbl>
      <w:tblPr>
        <w:tblStyle w:val="12"/>
        <w:tblW w:w="44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3"/>
        <w:gridCol w:w="2143"/>
        <w:gridCol w:w="2143"/>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noWrap w:val="0"/>
            <w:vAlign w:val="center"/>
          </w:tcPr>
          <w:p>
            <w:pPr>
              <w:pStyle w:val="11"/>
              <w:spacing w:after="0"/>
              <w:ind w:firstLine="0" w:firstLineChars="0"/>
              <w:jc w:val="center"/>
              <w:rPr>
                <w:rFonts w:ascii="黑体" w:hAnsi="黑体" w:eastAsia="黑体" w:cs="黑体"/>
                <w:color w:val="auto"/>
                <w:sz w:val="18"/>
                <w:szCs w:val="18"/>
                <w:highlight w:val="none"/>
              </w:rPr>
            </w:pPr>
            <w:r>
              <w:rPr>
                <w:rFonts w:hint="eastAsia" w:ascii="宋体" w:hAnsi="宋体" w:eastAsia="宋体" w:cs="宋体"/>
                <w:bCs/>
                <w:color w:val="auto"/>
                <w:sz w:val="18"/>
                <w:szCs w:val="18"/>
                <w:highlight w:val="none"/>
              </w:rPr>
              <w:t>阶数</w:t>
            </w:r>
          </w:p>
        </w:tc>
        <w:tc>
          <w:tcPr>
            <w:tcW w:w="1249" w:type="pct"/>
            <w:noWrap w:val="0"/>
            <w:vAlign w:val="center"/>
          </w:tcPr>
          <w:p>
            <w:pPr>
              <w:pStyle w:val="11"/>
              <w:spacing w:after="0"/>
              <w:ind w:firstLine="0" w:firstLineChars="0"/>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频率(Hz)</w:t>
            </w:r>
          </w:p>
        </w:tc>
        <w:tc>
          <w:tcPr>
            <w:tcW w:w="1249" w:type="pct"/>
            <w:noWrap w:val="0"/>
            <w:vAlign w:val="center"/>
          </w:tcPr>
          <w:p>
            <w:pPr>
              <w:pStyle w:val="11"/>
              <w:spacing w:after="0"/>
              <w:ind w:firstLine="0" w:firstLineChars="0"/>
              <w:jc w:val="center"/>
              <w:rPr>
                <w:rFonts w:ascii="宋体" w:hAnsi="宋体" w:eastAsia="宋体" w:cs="宋体"/>
                <w:color w:val="auto"/>
                <w:kern w:val="0"/>
                <w:sz w:val="18"/>
                <w:szCs w:val="18"/>
                <w:highlight w:val="none"/>
              </w:rPr>
            </w:pPr>
            <w:r>
              <w:rPr>
                <w:rFonts w:hint="eastAsia" w:ascii="宋体" w:hAnsi="宋体" w:eastAsia="宋体" w:cs="宋体"/>
                <w:bCs/>
                <w:color w:val="auto"/>
                <w:sz w:val="18"/>
                <w:szCs w:val="18"/>
                <w:highlight w:val="none"/>
              </w:rPr>
              <w:t>阶数</w:t>
            </w:r>
          </w:p>
        </w:tc>
        <w:tc>
          <w:tcPr>
            <w:tcW w:w="1252" w:type="pct"/>
            <w:noWrap w:val="0"/>
            <w:vAlign w:val="center"/>
          </w:tcPr>
          <w:p>
            <w:pPr>
              <w:pStyle w:val="11"/>
              <w:spacing w:after="0"/>
              <w:ind w:firstLine="0" w:firstLineChars="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频率(Hz)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1</w:t>
            </w:r>
          </w:p>
        </w:tc>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22.365</w:t>
            </w:r>
          </w:p>
        </w:tc>
        <w:tc>
          <w:tcPr>
            <w:tcW w:w="1249" w:type="pct"/>
            <w:noWrap w:val="0"/>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w:t>
            </w:r>
          </w:p>
        </w:tc>
        <w:tc>
          <w:tcPr>
            <w:tcW w:w="1252" w:type="pct"/>
            <w:noWrap w:val="0"/>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128.543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2</w:t>
            </w:r>
          </w:p>
        </w:tc>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50.864</w:t>
            </w:r>
          </w:p>
        </w:tc>
        <w:tc>
          <w:tcPr>
            <w:tcW w:w="1249" w:type="pct"/>
            <w:noWrap w:val="0"/>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w:t>
            </w:r>
          </w:p>
        </w:tc>
        <w:tc>
          <w:tcPr>
            <w:tcW w:w="1252" w:type="pct"/>
            <w:noWrap w:val="0"/>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145.232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3</w:t>
            </w:r>
          </w:p>
        </w:tc>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58.152</w:t>
            </w:r>
          </w:p>
        </w:tc>
        <w:tc>
          <w:tcPr>
            <w:tcW w:w="1249" w:type="pct"/>
            <w:noWrap w:val="0"/>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7</w:t>
            </w:r>
          </w:p>
        </w:tc>
        <w:tc>
          <w:tcPr>
            <w:tcW w:w="1252" w:type="pct"/>
            <w:noWrap w:val="0"/>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160.579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4</w:t>
            </w:r>
          </w:p>
        </w:tc>
        <w:tc>
          <w:tcPr>
            <w:tcW w:w="1249" w:type="pct"/>
            <w:noWrap w:val="0"/>
            <w:vAlign w:val="center"/>
          </w:tcPr>
          <w:p>
            <w:pPr>
              <w:widowControl/>
              <w:jc w:val="center"/>
              <w:rPr>
                <w:rFonts w:ascii="黑体" w:hAnsi="黑体" w:eastAsia="黑体" w:cs="黑体"/>
                <w:color w:val="auto"/>
                <w:sz w:val="18"/>
                <w:szCs w:val="18"/>
                <w:highlight w:val="none"/>
              </w:rPr>
            </w:pPr>
            <w:r>
              <w:rPr>
                <w:rFonts w:hint="eastAsia" w:ascii="宋体" w:hAnsi="宋体" w:eastAsia="宋体" w:cs="宋体"/>
                <w:color w:val="auto"/>
                <w:kern w:val="0"/>
                <w:sz w:val="18"/>
                <w:szCs w:val="18"/>
                <w:highlight w:val="none"/>
              </w:rPr>
              <w:t>122.049</w:t>
            </w:r>
          </w:p>
        </w:tc>
        <w:tc>
          <w:tcPr>
            <w:tcW w:w="1249" w:type="pct"/>
            <w:noWrap w:val="0"/>
            <w:vAlign w:val="center"/>
          </w:tcPr>
          <w:p>
            <w:pPr>
              <w:widowControl/>
              <w:jc w:val="center"/>
              <w:rPr>
                <w:rFonts w:ascii="宋体" w:hAnsi="宋体" w:eastAsia="宋体" w:cs="宋体"/>
                <w:color w:val="auto"/>
                <w:kern w:val="0"/>
                <w:sz w:val="18"/>
                <w:szCs w:val="18"/>
                <w:highlight w:val="none"/>
              </w:rPr>
            </w:pPr>
          </w:p>
        </w:tc>
        <w:tc>
          <w:tcPr>
            <w:tcW w:w="1252" w:type="pct"/>
            <w:noWrap w:val="0"/>
            <w:vAlign w:val="center"/>
          </w:tcPr>
          <w:p>
            <w:pPr>
              <w:widowControl/>
              <w:jc w:val="center"/>
              <w:rPr>
                <w:rFonts w:ascii="宋体" w:hAnsi="宋体" w:eastAsia="宋体" w:cs="宋体"/>
                <w:color w:val="auto"/>
                <w:kern w:val="0"/>
                <w:sz w:val="18"/>
                <w:szCs w:val="18"/>
                <w:highlight w:val="none"/>
              </w:rPr>
            </w:pPr>
          </w:p>
        </w:tc>
      </w:tr>
    </w:tbl>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36"/>
        <w:gridCol w:w="38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6" w:hRule="atLeast"/>
          <w:jc w:val="center"/>
        </w:trPr>
        <w:tc>
          <w:tcPr>
            <w:tcW w:w="3624" w:type="dxa"/>
            <w:noWrap w:val="0"/>
            <w:vAlign w:val="center"/>
          </w:tcPr>
          <w:p>
            <w:pPr>
              <w:jc w:val="center"/>
              <w:rPr>
                <w:rFonts w:ascii="等线" w:hAnsi="等线" w:eastAsia="等线" w:cs="Times New Roman"/>
                <w:color w:val="auto"/>
                <w:szCs w:val="22"/>
                <w:highlight w:val="none"/>
              </w:rPr>
            </w:pPr>
            <w:r>
              <w:rPr>
                <w:rFonts w:ascii="等线" w:hAnsi="等线" w:eastAsia="等线" w:cs="Times New Roman"/>
                <w:color w:val="auto"/>
                <w:szCs w:val="22"/>
                <w:highlight w:val="none"/>
              </w:rPr>
              <w:drawing>
                <wp:inline distT="0" distB="0" distL="114300" distR="114300">
                  <wp:extent cx="2160270" cy="1094740"/>
                  <wp:effectExtent l="0" t="0" r="11430" b="10160"/>
                  <wp:docPr id="2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3"/>
                          <pic:cNvPicPr>
                            <a:picLocks noChangeAspect="1"/>
                          </pic:cNvPicPr>
                        </pic:nvPicPr>
                        <pic:blipFill>
                          <a:blip r:embed="rId38"/>
                          <a:stretch>
                            <a:fillRect/>
                          </a:stretch>
                        </pic:blipFill>
                        <pic:spPr>
                          <a:xfrm>
                            <a:off x="0" y="0"/>
                            <a:ext cx="2160270" cy="1094740"/>
                          </a:xfrm>
                          <a:prstGeom prst="rect">
                            <a:avLst/>
                          </a:prstGeom>
                          <a:noFill/>
                          <a:ln>
                            <a:noFill/>
                          </a:ln>
                        </pic:spPr>
                      </pic:pic>
                    </a:graphicData>
                  </a:graphic>
                </wp:inline>
              </w:drawing>
            </w:r>
          </w:p>
        </w:tc>
        <w:tc>
          <w:tcPr>
            <w:tcW w:w="3806" w:type="dxa"/>
            <w:noWrap w:val="0"/>
            <w:vAlign w:val="center"/>
          </w:tcPr>
          <w:p>
            <w:pPr>
              <w:jc w:val="center"/>
              <w:rPr>
                <w:rFonts w:ascii="等线" w:hAnsi="等线" w:eastAsia="等线" w:cs="Times New Roman"/>
                <w:color w:val="auto"/>
                <w:szCs w:val="22"/>
                <w:highlight w:val="none"/>
              </w:rPr>
            </w:pPr>
            <w:r>
              <w:rPr>
                <w:rFonts w:ascii="等线" w:hAnsi="等线" w:eastAsia="等线" w:cs="Times New Roman"/>
                <w:color w:val="auto"/>
                <w:szCs w:val="22"/>
                <w:highlight w:val="none"/>
              </w:rPr>
              <w:drawing>
                <wp:inline distT="0" distB="0" distL="114300" distR="114300">
                  <wp:extent cx="2160270" cy="1096645"/>
                  <wp:effectExtent l="0" t="0" r="11430" b="8255"/>
                  <wp:docPr id="3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4"/>
                          <pic:cNvPicPr>
                            <a:picLocks noChangeAspect="1"/>
                          </pic:cNvPicPr>
                        </pic:nvPicPr>
                        <pic:blipFill>
                          <a:blip r:embed="rId39"/>
                          <a:stretch>
                            <a:fillRect/>
                          </a:stretch>
                        </pic:blipFill>
                        <pic:spPr>
                          <a:xfrm>
                            <a:off x="0" y="0"/>
                            <a:ext cx="2160270" cy="1096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24" w:type="dxa"/>
            <w:noWrap w:val="0"/>
            <w:vAlign w:val="center"/>
          </w:tcPr>
          <w:p>
            <w:pPr>
              <w:jc w:val="center"/>
              <w:rPr>
                <w:rFonts w:ascii="等线" w:hAnsi="等线" w:eastAsia="等线" w:cs="Times New Roman"/>
                <w:color w:val="auto"/>
                <w:szCs w:val="22"/>
                <w:highlight w:val="none"/>
              </w:rPr>
            </w:pPr>
            <w:r>
              <w:rPr>
                <w:rFonts w:hint="eastAsia" w:ascii="黑体" w:hAnsi="黑体" w:eastAsia="黑体" w:cs="黑体"/>
                <w:color w:val="auto"/>
                <w:szCs w:val="21"/>
                <w:highlight w:val="none"/>
              </w:rPr>
              <w:t>图C-5</w:t>
            </w:r>
            <w:r>
              <w:rPr>
                <w:rFonts w:hint="eastAsia" w:ascii="黑体" w:hAnsi="黑体" w:eastAsia="黑体" w:cs="黑体"/>
                <w:color w:val="auto"/>
                <w:szCs w:val="21"/>
                <w:highlight w:val="none"/>
                <w:lang w:val="zh-CN"/>
              </w:rPr>
              <w:t>模态频率</w:t>
            </w:r>
            <w:r>
              <w:rPr>
                <w:rFonts w:ascii="黑体" w:hAnsi="黑体" w:eastAsia="黑体" w:cs="黑体"/>
                <w:color w:val="auto"/>
                <w:szCs w:val="21"/>
                <w:highlight w:val="none"/>
                <w:lang w:val="zh-CN"/>
              </w:rPr>
              <w:t>22.4Hz</w:t>
            </w:r>
            <w:r>
              <w:rPr>
                <w:rFonts w:hint="eastAsia" w:ascii="黑体" w:hAnsi="黑体" w:eastAsia="黑体" w:cs="黑体"/>
                <w:color w:val="auto"/>
                <w:szCs w:val="21"/>
                <w:highlight w:val="none"/>
                <w:lang w:val="zh-CN"/>
              </w:rPr>
              <w:t>（呼吸形）</w:t>
            </w:r>
          </w:p>
        </w:tc>
        <w:tc>
          <w:tcPr>
            <w:tcW w:w="3806" w:type="dxa"/>
            <w:noWrap w:val="0"/>
            <w:vAlign w:val="center"/>
          </w:tcPr>
          <w:p>
            <w:pPr>
              <w:jc w:val="center"/>
              <w:rPr>
                <w:rFonts w:ascii="等线" w:hAnsi="等线" w:eastAsia="等线" w:cs="Times New Roman"/>
                <w:color w:val="auto"/>
                <w:szCs w:val="22"/>
                <w:highlight w:val="none"/>
              </w:rPr>
            </w:pPr>
            <w:r>
              <w:rPr>
                <w:rFonts w:hint="eastAsia" w:ascii="黑体" w:hAnsi="黑体" w:eastAsia="黑体" w:cs="黑体"/>
                <w:color w:val="auto"/>
                <w:szCs w:val="21"/>
                <w:highlight w:val="none"/>
              </w:rPr>
              <w:t>图C-6</w:t>
            </w:r>
            <w:r>
              <w:rPr>
                <w:rFonts w:hint="eastAsia" w:ascii="黑体" w:hAnsi="黑体" w:eastAsia="黑体" w:cs="黑体"/>
                <w:color w:val="auto"/>
                <w:szCs w:val="21"/>
                <w:highlight w:val="none"/>
                <w:lang w:val="zh-CN"/>
              </w:rPr>
              <w:t>模态频率</w:t>
            </w:r>
            <w:r>
              <w:rPr>
                <w:rFonts w:ascii="黑体" w:hAnsi="黑体" w:eastAsia="黑体" w:cs="黑体"/>
                <w:color w:val="auto"/>
                <w:szCs w:val="21"/>
                <w:highlight w:val="none"/>
                <w:lang w:val="zh-CN"/>
              </w:rPr>
              <w:t>50.9Hz</w:t>
            </w:r>
            <w:r>
              <w:rPr>
                <w:rFonts w:hint="eastAsia" w:ascii="黑体" w:hAnsi="黑体" w:eastAsia="黑体" w:cs="黑体"/>
                <w:color w:val="auto"/>
                <w:szCs w:val="21"/>
                <w:highlight w:val="none"/>
                <w:lang w:val="zh-CN"/>
              </w:rPr>
              <w:t>（波浪形）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2" w:hRule="atLeast"/>
          <w:jc w:val="center"/>
        </w:trPr>
        <w:tc>
          <w:tcPr>
            <w:tcW w:w="3624" w:type="dxa"/>
            <w:noWrap w:val="0"/>
            <w:vAlign w:val="center"/>
          </w:tcPr>
          <w:p>
            <w:pPr>
              <w:jc w:val="center"/>
              <w:rPr>
                <w:rFonts w:ascii="黑体" w:hAnsi="黑体" w:eastAsia="黑体" w:cs="黑体"/>
                <w:color w:val="auto"/>
                <w:szCs w:val="21"/>
                <w:highlight w:val="none"/>
                <w:lang w:val="zh-CN"/>
              </w:rPr>
            </w:pPr>
            <w:r>
              <w:rPr>
                <w:rFonts w:ascii="等线" w:hAnsi="等线" w:eastAsia="等线" w:cs="Times New Roman"/>
                <w:color w:val="auto"/>
                <w:szCs w:val="22"/>
                <w:highlight w:val="none"/>
              </w:rPr>
              <w:drawing>
                <wp:inline distT="0" distB="0" distL="114300" distR="114300">
                  <wp:extent cx="2160270" cy="1091565"/>
                  <wp:effectExtent l="0" t="0" r="11430" b="635"/>
                  <wp:docPr id="3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4"/>
                          <pic:cNvPicPr>
                            <a:picLocks noChangeAspect="1"/>
                          </pic:cNvPicPr>
                        </pic:nvPicPr>
                        <pic:blipFill>
                          <a:blip r:embed="rId40"/>
                          <a:stretch>
                            <a:fillRect/>
                          </a:stretch>
                        </pic:blipFill>
                        <pic:spPr>
                          <a:xfrm>
                            <a:off x="0" y="0"/>
                            <a:ext cx="2160270" cy="1091565"/>
                          </a:xfrm>
                          <a:prstGeom prst="rect">
                            <a:avLst/>
                          </a:prstGeom>
                          <a:noFill/>
                          <a:ln>
                            <a:noFill/>
                          </a:ln>
                        </pic:spPr>
                      </pic:pic>
                    </a:graphicData>
                  </a:graphic>
                </wp:inline>
              </w:drawing>
            </w:r>
          </w:p>
        </w:tc>
        <w:tc>
          <w:tcPr>
            <w:tcW w:w="3806" w:type="dxa"/>
            <w:noWrap w:val="0"/>
            <w:vAlign w:val="center"/>
          </w:tcPr>
          <w:p>
            <w:pPr>
              <w:jc w:val="center"/>
              <w:rPr>
                <w:rFonts w:ascii="黑体" w:hAnsi="黑体" w:eastAsia="黑体" w:cs="黑体"/>
                <w:color w:val="auto"/>
                <w:szCs w:val="21"/>
                <w:highlight w:val="none"/>
                <w:lang w:val="zh-CN"/>
              </w:rPr>
            </w:pPr>
            <w:r>
              <w:rPr>
                <w:rFonts w:ascii="Times New Roman" w:hAnsi="Times New Roman" w:cs="Times New Roman"/>
                <w:color w:val="auto"/>
                <w:highlight w:val="none"/>
              </w:rPr>
              <w:drawing>
                <wp:inline distT="0" distB="0" distL="114300" distR="114300">
                  <wp:extent cx="2016760" cy="1090930"/>
                  <wp:effectExtent l="0" t="0" r="2540" b="1270"/>
                  <wp:docPr id="32" name="图片 105" descr="上机架模态单臂扭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5" descr="上机架模态单臂扭转1#"/>
                          <pic:cNvPicPr>
                            <a:picLocks noChangeAspect="1"/>
                          </pic:cNvPicPr>
                        </pic:nvPicPr>
                        <pic:blipFill>
                          <a:blip r:embed="rId41"/>
                          <a:srcRect l="6651" t="6744" r="7256" b="6744"/>
                          <a:stretch>
                            <a:fillRect/>
                          </a:stretch>
                        </pic:blipFill>
                        <pic:spPr>
                          <a:xfrm>
                            <a:off x="0" y="0"/>
                            <a:ext cx="2016760" cy="10909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624" w:type="dxa"/>
            <w:noWrap w:val="0"/>
            <w:vAlign w:val="center"/>
          </w:tcPr>
          <w:p>
            <w:pPr>
              <w:jc w:val="center"/>
              <w:rPr>
                <w:rFonts w:ascii="黑体" w:hAnsi="黑体" w:eastAsia="黑体" w:cs="黑体"/>
                <w:color w:val="auto"/>
                <w:szCs w:val="21"/>
                <w:highlight w:val="none"/>
                <w:lang w:val="zh-CN"/>
              </w:rPr>
            </w:pPr>
            <w:r>
              <w:rPr>
                <w:rFonts w:hint="eastAsia" w:ascii="黑体" w:hAnsi="黑体" w:eastAsia="黑体" w:cs="黑体"/>
                <w:color w:val="auto"/>
                <w:szCs w:val="21"/>
                <w:highlight w:val="none"/>
              </w:rPr>
              <w:t>图C-7</w:t>
            </w:r>
            <w:r>
              <w:rPr>
                <w:rFonts w:hint="eastAsia" w:ascii="黑体" w:hAnsi="黑体" w:eastAsia="黑体" w:cs="黑体"/>
                <w:color w:val="auto"/>
                <w:szCs w:val="21"/>
                <w:highlight w:val="none"/>
                <w:lang w:val="zh-CN"/>
              </w:rPr>
              <w:t>模态频率</w:t>
            </w:r>
            <w:r>
              <w:rPr>
                <w:rFonts w:ascii="黑体" w:hAnsi="黑体" w:eastAsia="黑体" w:cs="黑体"/>
                <w:color w:val="auto"/>
                <w:szCs w:val="21"/>
                <w:highlight w:val="none"/>
                <w:lang w:val="zh-CN"/>
              </w:rPr>
              <w:t>58.1Hz</w:t>
            </w:r>
            <w:r>
              <w:rPr>
                <w:rFonts w:hint="eastAsia" w:ascii="黑体" w:hAnsi="黑体" w:eastAsia="黑体" w:cs="黑体"/>
                <w:color w:val="auto"/>
                <w:szCs w:val="21"/>
                <w:highlight w:val="none"/>
                <w:lang w:val="zh-CN"/>
              </w:rPr>
              <w:t>（扭转型）</w:t>
            </w:r>
          </w:p>
        </w:tc>
        <w:tc>
          <w:tcPr>
            <w:tcW w:w="3806" w:type="dxa"/>
            <w:noWrap w:val="0"/>
            <w:vAlign w:val="center"/>
          </w:tcPr>
          <w:p>
            <w:pPr>
              <w:jc w:val="center"/>
              <w:rPr>
                <w:rFonts w:ascii="黑体" w:hAnsi="黑体" w:eastAsia="黑体" w:cs="黑体"/>
                <w:color w:val="auto"/>
                <w:szCs w:val="21"/>
                <w:highlight w:val="none"/>
                <w:lang w:val="zh-CN"/>
              </w:rPr>
            </w:pPr>
            <w:r>
              <w:rPr>
                <w:rFonts w:hint="eastAsia" w:ascii="黑体" w:hAnsi="黑体" w:eastAsia="黑体" w:cs="黑体"/>
                <w:color w:val="auto"/>
                <w:szCs w:val="21"/>
                <w:highlight w:val="none"/>
              </w:rPr>
              <w:t>图C-8 上机架单个支臂水平扭转振型</w:t>
            </w:r>
          </w:p>
        </w:tc>
      </w:tr>
    </w:tbl>
    <w:p>
      <w:pPr>
        <w:pStyle w:val="18"/>
        <w:numPr>
          <w:ilvl w:val="0"/>
          <w:numId w:val="18"/>
        </w:numPr>
        <w:spacing w:beforeLines="100" w:afterLines="100" w:line="240" w:lineRule="auto"/>
        <w:ind w:left="6" w:hanging="6"/>
        <w:jc w:val="left"/>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试验结论</w:t>
      </w:r>
    </w:p>
    <w:p>
      <w:pPr>
        <w:spacing w:line="288" w:lineRule="auto"/>
        <w:ind w:firstLine="420" w:firstLineChars="200"/>
        <w:rPr>
          <w:rFonts w:ascii="Times New Roman" w:hAnsi="Times New Roman" w:eastAsia="宋体" w:cs="Times New Roman"/>
          <w:color w:val="auto"/>
          <w:szCs w:val="21"/>
          <w:highlight w:val="none"/>
        </w:rPr>
      </w:pPr>
      <w:r>
        <w:rPr>
          <w:rFonts w:ascii="Times New Roman" w:hAnsi="宋体" w:eastAsia="宋体" w:cs="Times New Roman"/>
          <w:color w:val="auto"/>
          <w:szCs w:val="21"/>
          <w:highlight w:val="none"/>
        </w:rPr>
        <w:t>对机组结构及运行参数进行分析后的到其振源分布、频率及其倍频影响范围见表</w:t>
      </w:r>
      <w:r>
        <w:rPr>
          <w:rFonts w:ascii="Times New Roman" w:hAnsi="Times New Roman" w:eastAsia="宋体" w:cs="Times New Roman"/>
          <w:color w:val="auto"/>
          <w:szCs w:val="21"/>
          <w:highlight w:val="none"/>
        </w:rPr>
        <w:t>C-2</w:t>
      </w:r>
      <w:r>
        <w:rPr>
          <w:rFonts w:ascii="Times New Roman" w:hAnsi="宋体" w:eastAsia="宋体" w:cs="Times New Roman"/>
          <w:color w:val="auto"/>
          <w:szCs w:val="21"/>
          <w:highlight w:val="none"/>
        </w:rPr>
        <w:t>，对比机架模态试验结果可得：</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阶模态频率与叶片通过频率</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倍频共振，</w:t>
      </w:r>
      <w:r>
        <w:rPr>
          <w:rFonts w:ascii="Times New Roman" w:hAnsi="Times New Roman" w:eastAsia="宋体" w:cs="Times New Roman"/>
          <w:color w:val="auto"/>
          <w:szCs w:val="21"/>
          <w:highlight w:val="none"/>
        </w:rPr>
        <w:t>2</w:t>
      </w:r>
      <w:r>
        <w:rPr>
          <w:rFonts w:ascii="Times New Roman" w:hAnsi="宋体" w:eastAsia="宋体" w:cs="Times New Roman"/>
          <w:color w:val="auto"/>
          <w:szCs w:val="21"/>
          <w:highlight w:val="none"/>
        </w:rPr>
        <w:t>阶模态频率与电磁极振频率</w:t>
      </w:r>
      <w:r>
        <w:rPr>
          <w:rFonts w:ascii="Times New Roman" w:hAnsi="Times New Roman" w:eastAsia="宋体" w:cs="Times New Roman"/>
          <w:color w:val="auto"/>
          <w:szCs w:val="21"/>
          <w:highlight w:val="none"/>
        </w:rPr>
        <w:t>1</w:t>
      </w:r>
      <w:r>
        <w:rPr>
          <w:rFonts w:ascii="Times New Roman" w:hAnsi="宋体" w:eastAsia="宋体" w:cs="Times New Roman"/>
          <w:color w:val="auto"/>
          <w:szCs w:val="21"/>
          <w:highlight w:val="none"/>
        </w:rPr>
        <w:t>倍频共振，</w:t>
      </w:r>
      <w:r>
        <w:rPr>
          <w:rFonts w:ascii="Times New Roman" w:hAnsi="Times New Roman" w:eastAsia="宋体" w:cs="Times New Roman"/>
          <w:color w:val="auto"/>
          <w:szCs w:val="21"/>
          <w:highlight w:val="none"/>
        </w:rPr>
        <w:t>5</w:t>
      </w:r>
      <w:r>
        <w:rPr>
          <w:rFonts w:ascii="Times New Roman" w:hAnsi="宋体" w:eastAsia="宋体" w:cs="Times New Roman"/>
          <w:color w:val="auto"/>
          <w:szCs w:val="21"/>
          <w:highlight w:val="none"/>
        </w:rPr>
        <w:t>阶、</w:t>
      </w:r>
      <w:r>
        <w:rPr>
          <w:rFonts w:ascii="Times New Roman" w:hAnsi="Times New Roman" w:eastAsia="宋体" w:cs="Times New Roman"/>
          <w:color w:val="auto"/>
          <w:szCs w:val="21"/>
          <w:highlight w:val="none"/>
        </w:rPr>
        <w:t>6</w:t>
      </w:r>
      <w:r>
        <w:rPr>
          <w:rFonts w:ascii="Times New Roman" w:hAnsi="宋体" w:eastAsia="宋体" w:cs="Times New Roman"/>
          <w:color w:val="auto"/>
          <w:szCs w:val="21"/>
          <w:highlight w:val="none"/>
        </w:rPr>
        <w:t>阶模态频率与导叶通过频率</w:t>
      </w:r>
      <w:r>
        <w:rPr>
          <w:rFonts w:ascii="Times New Roman" w:hAnsi="Times New Roman" w:eastAsia="宋体" w:cs="Times New Roman"/>
          <w:color w:val="auto"/>
          <w:szCs w:val="21"/>
          <w:highlight w:val="none"/>
        </w:rPr>
        <w:t>3</w:t>
      </w:r>
      <w:r>
        <w:rPr>
          <w:rFonts w:ascii="Times New Roman" w:hAnsi="宋体" w:eastAsia="宋体" w:cs="Times New Roman"/>
          <w:color w:val="auto"/>
          <w:szCs w:val="21"/>
          <w:highlight w:val="none"/>
        </w:rPr>
        <w:t>倍频共振。</w:t>
      </w:r>
    </w:p>
    <w:p>
      <w:pPr>
        <w:pStyle w:val="11"/>
        <w:numPr>
          <w:ilvl w:val="0"/>
          <w:numId w:val="0"/>
        </w:numPr>
        <w:spacing w:after="0"/>
        <w:jc w:val="center"/>
        <w:rPr>
          <w:rFonts w:ascii="黑体" w:hAnsi="黑体" w:eastAsia="黑体" w:cs="黑体"/>
          <w:color w:val="auto"/>
          <w:szCs w:val="21"/>
          <w:highlight w:val="none"/>
        </w:rPr>
      </w:pPr>
      <w:r>
        <w:rPr>
          <w:rFonts w:ascii="黑体" w:hAnsi="黑体" w:eastAsia="黑体" w:cs="黑体"/>
          <w:color w:val="auto"/>
          <w:szCs w:val="21"/>
          <w:highlight w:val="none"/>
        </w:rPr>
        <w:t>表</w:t>
      </w:r>
      <w:r>
        <w:rPr>
          <w:rFonts w:hint="eastAsia" w:ascii="黑体" w:hAnsi="黑体" w:eastAsia="黑体" w:cs="黑体"/>
          <w:color w:val="auto"/>
          <w:szCs w:val="21"/>
          <w:highlight w:val="none"/>
        </w:rPr>
        <w:t xml:space="preserve">C-2 </w:t>
      </w:r>
      <w:r>
        <w:rPr>
          <w:rFonts w:ascii="黑体" w:hAnsi="黑体" w:eastAsia="黑体" w:cs="黑体"/>
          <w:color w:val="auto"/>
          <w:szCs w:val="21"/>
          <w:highlight w:val="none"/>
        </w:rPr>
        <w:t>机组振源频率表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437"/>
        <w:gridCol w:w="1437"/>
        <w:gridCol w:w="1777"/>
        <w:gridCol w:w="1777"/>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频率</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机组转频（</w:t>
            </w:r>
            <w:r>
              <w:rPr>
                <w:rStyle w:val="20"/>
                <w:rFonts w:eastAsia="宋体"/>
                <w:color w:val="auto"/>
                <w:sz w:val="18"/>
                <w:szCs w:val="18"/>
                <w:highlight w:val="none"/>
              </w:rPr>
              <w:t>Hz</w:t>
            </w:r>
            <w:r>
              <w:rPr>
                <w:rStyle w:val="21"/>
                <w:rFonts w:hint="default" w:ascii="Times New Roman" w:cs="Times New Roman"/>
                <w:color w:val="auto"/>
                <w:sz w:val="18"/>
                <w:szCs w:val="18"/>
                <w:highlight w:val="none"/>
              </w:rPr>
              <w:t>）</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尾水涡频（</w:t>
            </w:r>
            <w:r>
              <w:rPr>
                <w:rStyle w:val="20"/>
                <w:rFonts w:eastAsia="宋体"/>
                <w:color w:val="auto"/>
                <w:sz w:val="18"/>
                <w:szCs w:val="18"/>
                <w:highlight w:val="none"/>
              </w:rPr>
              <w:t>Hz</w:t>
            </w:r>
            <w:r>
              <w:rPr>
                <w:rStyle w:val="21"/>
                <w:rFonts w:hint="default" w:ascii="Times New Roman" w:cs="Times New Roman"/>
                <w:color w:val="auto"/>
                <w:sz w:val="18"/>
                <w:szCs w:val="18"/>
                <w:highlight w:val="none"/>
              </w:rPr>
              <w:t>）</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叶片通过频率（</w:t>
            </w:r>
            <w:r>
              <w:rPr>
                <w:rStyle w:val="20"/>
                <w:rFonts w:eastAsia="宋体"/>
                <w:color w:val="auto"/>
                <w:sz w:val="18"/>
                <w:szCs w:val="18"/>
                <w:highlight w:val="none"/>
              </w:rPr>
              <w:t>Hz</w:t>
            </w:r>
            <w:r>
              <w:rPr>
                <w:rStyle w:val="21"/>
                <w:rFonts w:hint="default" w:ascii="Times New Roman" w:cs="Times New Roman"/>
                <w:color w:val="auto"/>
                <w:sz w:val="18"/>
                <w:szCs w:val="18"/>
                <w:highlight w:val="none"/>
              </w:rPr>
              <w:t>）</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导叶通过频率（</w:t>
            </w:r>
            <w:r>
              <w:rPr>
                <w:rStyle w:val="20"/>
                <w:rFonts w:eastAsia="宋体"/>
                <w:color w:val="auto"/>
                <w:sz w:val="18"/>
                <w:szCs w:val="18"/>
                <w:highlight w:val="none"/>
              </w:rPr>
              <w:t>Hz</w:t>
            </w:r>
            <w:r>
              <w:rPr>
                <w:rStyle w:val="21"/>
                <w:rFonts w:hint="default" w:ascii="Times New Roman" w:cs="Times New Roman"/>
                <w:color w:val="auto"/>
                <w:sz w:val="18"/>
                <w:szCs w:val="18"/>
                <w:highlight w:val="none"/>
              </w:rPr>
              <w:t>）</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宋体" w:eastAsia="宋体" w:cs="Times New Roman"/>
                <w:color w:val="auto"/>
                <w:kern w:val="0"/>
                <w:sz w:val="18"/>
                <w:szCs w:val="18"/>
                <w:highlight w:val="none"/>
              </w:rPr>
              <w:t>电磁极振频率（</w:t>
            </w:r>
            <w:r>
              <w:rPr>
                <w:rStyle w:val="20"/>
                <w:rFonts w:eastAsia="宋体"/>
                <w:color w:val="auto"/>
                <w:sz w:val="18"/>
                <w:szCs w:val="18"/>
                <w:highlight w:val="none"/>
              </w:rPr>
              <w:t>Hz</w:t>
            </w:r>
            <w:r>
              <w:rPr>
                <w:rStyle w:val="21"/>
                <w:rFonts w:hint="default" w:ascii="Times New Roman"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r>
              <w:rPr>
                <w:rStyle w:val="21"/>
                <w:rFonts w:hint="default" w:ascii="Times New Roman" w:cs="Times New Roman"/>
                <w:color w:val="auto"/>
                <w:sz w:val="18"/>
                <w:szCs w:val="18"/>
                <w:highlight w:val="none"/>
              </w:rPr>
              <w:t>倍频</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1.932</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0.641</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7.692</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46.152</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r>
              <w:rPr>
                <w:rStyle w:val="22"/>
                <w:rFonts w:hint="default" w:ascii="Times New Roman" w:cs="Times New Roman"/>
                <w:color w:val="auto"/>
                <w:sz w:val="18"/>
                <w:szCs w:val="18"/>
                <w:highlight w:val="none"/>
              </w:rPr>
              <w:t>倍频（范围）</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1.73-2.12</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0.58-0.70</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6.92-8.46</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41.53-50.76</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45-55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w:t>
            </w:r>
            <w:r>
              <w:rPr>
                <w:rStyle w:val="21"/>
                <w:rFonts w:hint="default" w:ascii="Times New Roman" w:cs="Times New Roman"/>
                <w:color w:val="auto"/>
                <w:sz w:val="18"/>
                <w:szCs w:val="18"/>
                <w:highlight w:val="none"/>
              </w:rPr>
              <w:t>倍频</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3.864</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1.282</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15.384</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92.304</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w:t>
            </w:r>
            <w:r>
              <w:rPr>
                <w:rStyle w:val="22"/>
                <w:rFonts w:hint="default" w:ascii="Times New Roman" w:cs="Times New Roman"/>
                <w:color w:val="auto"/>
                <w:sz w:val="18"/>
                <w:szCs w:val="18"/>
                <w:highlight w:val="none"/>
              </w:rPr>
              <w:t>倍频（范围）</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3.46-4.23</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1.15-1.41</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13.84-16.92</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83.07-101.53</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90-110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w:t>
            </w:r>
            <w:r>
              <w:rPr>
                <w:rStyle w:val="21"/>
                <w:rFonts w:hint="default" w:ascii="Times New Roman" w:cs="Times New Roman"/>
                <w:color w:val="auto"/>
                <w:sz w:val="18"/>
                <w:szCs w:val="18"/>
                <w:highlight w:val="none"/>
              </w:rPr>
              <w:t>倍频</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5.796</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1.923</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23.076</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138.456</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w:t>
            </w:r>
            <w:r>
              <w:rPr>
                <w:rStyle w:val="22"/>
                <w:rFonts w:hint="default" w:ascii="Times New Roman" w:cs="Times New Roman"/>
                <w:color w:val="auto"/>
                <w:sz w:val="18"/>
                <w:szCs w:val="18"/>
                <w:highlight w:val="none"/>
              </w:rPr>
              <w:t>倍频（范围）</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5.19-6.34</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1.73-2.12</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20.77-25.38</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124.59-152.28</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135-165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4</w:t>
            </w:r>
            <w:r>
              <w:rPr>
                <w:rStyle w:val="21"/>
                <w:rFonts w:hint="default" w:ascii="Times New Roman" w:cs="Times New Roman"/>
                <w:color w:val="auto"/>
                <w:sz w:val="18"/>
                <w:szCs w:val="18"/>
                <w:highlight w:val="none"/>
              </w:rPr>
              <w:t>倍频</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7.728</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2.564</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30.768</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184.608</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4</w:t>
            </w:r>
            <w:r>
              <w:rPr>
                <w:rStyle w:val="22"/>
                <w:rFonts w:hint="default" w:ascii="Times New Roman" w:cs="Times New Roman"/>
                <w:color w:val="auto"/>
                <w:sz w:val="18"/>
                <w:szCs w:val="18"/>
                <w:highlight w:val="none"/>
              </w:rPr>
              <w:t>倍频（范围）</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6.92-8.46</w:t>
            </w:r>
          </w:p>
        </w:tc>
        <w:tc>
          <w:tcPr>
            <w:tcW w:w="748"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2.30-2.82</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27.69-33.84</w:t>
            </w:r>
          </w:p>
        </w:tc>
        <w:tc>
          <w:tcPr>
            <w:tcW w:w="925"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166.14-203.06</w:t>
            </w:r>
          </w:p>
        </w:tc>
        <w:tc>
          <w:tcPr>
            <w:tcW w:w="926" w:type="pct"/>
            <w:tcBorders>
              <w:tl2br w:val="nil"/>
              <w:tr2bl w:val="nil"/>
            </w:tcBorders>
            <w:noWrap/>
            <w:vAlign w:val="center"/>
          </w:tcPr>
          <w:p>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180-220</w:t>
            </w:r>
          </w:p>
        </w:tc>
      </w:tr>
    </w:tbl>
    <w:p>
      <w:pPr>
        <w:spacing w:line="288" w:lineRule="auto"/>
        <w:ind w:firstLine="420" w:firstLineChars="200"/>
        <w:rPr>
          <w:rFonts w:ascii="宋体" w:hAnsi="宋体" w:eastAsia="宋体" w:cs="宋体"/>
          <w:color w:val="auto"/>
          <w:szCs w:val="21"/>
          <w:highlight w:val="none"/>
        </w:rPr>
      </w:pPr>
    </w:p>
    <w:p>
      <w:pPr>
        <w:widowControl/>
        <w:rPr>
          <w:rFonts w:ascii="Times New Roman" w:hAnsi="Times New Roman" w:cs="Times New Roman"/>
          <w:color w:val="auto"/>
          <w:highlight w:val="none"/>
        </w:rPr>
      </w:pPr>
    </w:p>
    <w:p>
      <w:pPr>
        <w:rPr>
          <w:highlight w:val="none"/>
        </w:rPr>
      </w:pPr>
    </w:p>
    <w:sectPr>
      <w:footerReference r:id="rId14" w:type="default"/>
      <w:pgSz w:w="11906" w:h="16838"/>
      <w:pgMar w:top="1418" w:right="1134" w:bottom="1134" w:left="1418" w:header="1418" w:footer="1134" w:gutter="0"/>
      <w:pgNumType w:fmt="decimal"/>
      <w:cols w:space="720" w:num="1"/>
      <w:docGrid w:type="lines" w:linePitch="31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zqGAvOgIAAHEEAAAOAAAAAAAAAAEAIAAAAB8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fldChar w:fldCharType="begin"/>
    </w:r>
    <w:r>
      <w:instrText xml:space="preserve"> PAGE   \* MERGEFORMAT </w:instrText>
    </w:r>
    <w:r>
      <w:fldChar w:fldCharType="separate"/>
    </w:r>
    <w:r>
      <w:rPr>
        <w:lang w:val="zh-CN"/>
      </w:rPr>
      <w:t>2</w:t>
    </w:r>
    <w:r>
      <w:rPr>
        <w:lang w:val="zh-CN"/>
      </w:rP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30</w:t>
    </w:r>
    <w:r>
      <w:rPr>
        <w:lang w:val="zh-CN"/>
      </w:rPr>
      <w:fldChar w:fldCharType="end"/>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right"/>
                          </w:pPr>
                          <w:r>
                            <w:fldChar w:fldCharType="begin"/>
                          </w:r>
                          <w:r>
                            <w:instrText xml:space="preserve"> PAGE   \* MERGEFORMAT </w:instrText>
                          </w:r>
                          <w:r>
                            <w:fldChar w:fldCharType="separate"/>
                          </w:r>
                          <w:r>
                            <w:rPr>
                              <w:lang w:val="zh-CN"/>
                            </w:rPr>
                            <w:t>3</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6"/>
                      <w:jc w:val="right"/>
                    </w:pPr>
                    <w:r>
                      <w:fldChar w:fldCharType="begin"/>
                    </w:r>
                    <w:r>
                      <w:instrText xml:space="preserve"> PAGE   \* MERGEFORMAT </w:instrText>
                    </w:r>
                    <w:r>
                      <w:fldChar w:fldCharType="separate"/>
                    </w:r>
                    <w:r>
                      <w:rPr>
                        <w:lang w:val="zh-CN"/>
                      </w:rPr>
                      <w:t>3</w:t>
                    </w:r>
                    <w:r>
                      <w:rPr>
                        <w:lang w:val="zh-CN"/>
                      </w:rPr>
                      <w:fldChar w:fldCharType="end"/>
                    </w:r>
                  </w:p>
                </w:txbxContent>
              </v:textbox>
            </v:shape>
          </w:pict>
        </mc:Fallback>
      </mc:AlternateContent>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rPr>
                              <w:lang w:val="zh-CN"/>
                            </w:rPr>
                            <w:t>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rPr>
                        <w:lang w:val="zh-CN"/>
                      </w:rPr>
                      <w:t>9</w:t>
                    </w:r>
                    <w:r>
                      <w:rPr>
                        <w:lang w:val="zh-CN"/>
                      </w:rPr>
                      <w:fldChar w:fldCharType="end"/>
                    </w:r>
                  </w:p>
                </w:txbxContent>
              </v:textbox>
            </v:shape>
          </w:pict>
        </mc:Fallback>
      </mc:AlternateContent>
    </w:r>
  </w:p>
  <w:p>
    <w:pPr>
      <w:pStyle w:val="6"/>
      <w:rPr>
        <w:rFonts w:ascii="宋体" w:hAnsi="宋体" w:eastAsia="宋体" w:cs="宋体"/>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 PAGE   \* MERGEFORMAT </w:instrText>
    </w:r>
    <w:r>
      <w:fldChar w:fldCharType="separate"/>
    </w:r>
    <w:r>
      <w:rPr>
        <w:lang w:val="zh-CN"/>
      </w:rPr>
      <w:t>12</w:t>
    </w:r>
    <w:r>
      <w:rPr>
        <w:lang w:val="zh-CN"/>
      </w:rPr>
      <w:fldChar w:fldCharType="end"/>
    </w:r>
  </w:p>
  <w:p>
    <w:pPr>
      <w:pStyle w:val="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1275" cy="73025"/>
              <wp:effectExtent l="0" t="0" r="0" b="0"/>
              <wp:wrapNone/>
              <wp:docPr id="62" name="Shape 62"/>
              <wp:cNvGraphicFramePr/>
              <a:graphic xmlns:a="http://schemas.openxmlformats.org/drawingml/2006/main">
                <a:graphicData uri="http://schemas.microsoft.com/office/word/2010/wordprocessingShape">
                  <wps:wsp>
                    <wps:cNvSpPr txBox="1"/>
                    <wps:spPr>
                      <a:xfrm>
                        <a:off x="0" y="0"/>
                        <a:ext cx="41275" cy="73025"/>
                      </a:xfrm>
                      <a:prstGeom prst="rect">
                        <a:avLst/>
                      </a:prstGeom>
                      <a:noFill/>
                      <a:ln>
                        <a:noFill/>
                      </a:ln>
                      <a:effectLst/>
                    </wps:spPr>
                    <wps:txbx>
                      <w:txbxContent>
                        <w:p>
                          <w:pPr>
                            <w:pStyle w:val="19"/>
                            <w:jc w:val="left"/>
                            <w:rPr>
                              <w:sz w:val="17"/>
                              <w:szCs w:val="17"/>
                            </w:rPr>
                          </w:pPr>
                          <w:r>
                            <w:fldChar w:fldCharType="begin"/>
                          </w:r>
                          <w:r>
                            <w:instrText xml:space="preserve"> PAGE \* MERGEFORMAT </w:instrText>
                          </w:r>
                          <w:r>
                            <w:fldChar w:fldCharType="separate"/>
                          </w:r>
                          <w:r>
                            <w:rPr>
                              <w:color w:val="000000"/>
                              <w:sz w:val="17"/>
                              <w:szCs w:val="17"/>
                            </w:rPr>
                            <w:t>11</w:t>
                          </w:r>
                          <w:r>
                            <w:rPr>
                              <w:color w:val="000000"/>
                              <w:sz w:val="17"/>
                              <w:szCs w:val="17"/>
                            </w:rPr>
                            <w:fldChar w:fldCharType="end"/>
                          </w:r>
                        </w:p>
                      </w:txbxContent>
                    </wps:txbx>
                    <wps:bodyPr vert="horz" wrap="none" lIns="0" tIns="0" rIns="0" bIns="0" anchor="t" anchorCtr="0">
                      <a:spAutoFit/>
                    </wps:bodyPr>
                  </wps:wsp>
                </a:graphicData>
              </a:graphic>
            </wp:anchor>
          </w:drawing>
        </mc:Choice>
        <mc:Fallback>
          <w:pict>
            <v:shape id="Shape 62" o:spid="_x0000_s1026" o:spt="202" type="#_x0000_t202" style="position:absolute;left:0pt;margin-top:0pt;height:5.75pt;width:3.25pt;mso-position-horizontal:outside;mso-position-horizontal-relative:margin;mso-wrap-style:none;z-index:251659264;mso-width-relative:page;mso-height-relative:page;" filled="f" stroked="f" coordsize="21600,21600" o:gfxdata="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RPdG0AAAAAIBAAAPAAAAAAAAAAEAIAAAACIAAABkcnMvZG93&#10;bnJldi54bWxQSwECFAAUAAAACACHTuJAwXBstc8BAAC6AwAADgAAAAAAAAABACAAAAAfAQAAZHJz&#10;L2Uyb0RvYy54bWxQSwUGAAAAAAYABgBZAQAAYAUAAAAA&#10;">
              <v:fill on="f" focussize="0,0"/>
              <v:stroke on="f"/>
              <v:imagedata o:title=""/>
              <o:lock v:ext="edit" aspectratio="f"/>
              <v:textbox inset="0mm,0mm,0mm,0mm" style="mso-fit-shape-to-text:t;">
                <w:txbxContent>
                  <w:p>
                    <w:pPr>
                      <w:pStyle w:val="19"/>
                      <w:jc w:val="left"/>
                      <w:rPr>
                        <w:sz w:val="17"/>
                        <w:szCs w:val="17"/>
                      </w:rPr>
                    </w:pPr>
                    <w:r>
                      <w:fldChar w:fldCharType="begin"/>
                    </w:r>
                    <w:r>
                      <w:instrText xml:space="preserve"> PAGE \* MERGEFORMAT </w:instrText>
                    </w:r>
                    <w:r>
                      <w:fldChar w:fldCharType="separate"/>
                    </w:r>
                    <w:r>
                      <w:rPr>
                        <w:color w:val="000000"/>
                        <w:sz w:val="17"/>
                        <w:szCs w:val="17"/>
                      </w:rPr>
                      <w:t>11</w:t>
                    </w:r>
                    <w:r>
                      <w:rPr>
                        <w:color w:val="000000"/>
                        <w:sz w:val="17"/>
                        <w:szCs w:val="17"/>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right="270"/>
      <w:jc w:val="right"/>
      <w:rPr>
        <w:rFonts w:ascii="黑体" w:hAnsi="黑体" w:eastAsia="黑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rFonts w:ascii="黑体" w:hAnsi="黑体" w:eastAsia="黑体"/>
      </w:rPr>
    </w:pPr>
    <w:r>
      <w:rPr>
        <w:rFonts w:hint="eastAsia" w:ascii="黑体" w:eastAsia="黑体" w:cs="黑体"/>
        <w:sz w:val="21"/>
        <w:szCs w:val="21"/>
      </w:rPr>
      <w:t>Q/HN-1-0000.01.003-2022</w:t>
    </w:r>
  </w:p>
  <w:p>
    <w:pPr>
      <w:pStyle w:val="7"/>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7560" w:firstLineChars="3600"/>
    </w:pPr>
    <w:r>
      <w:t>T/CSEE</w:t>
    </w:r>
    <w:r>
      <w:rPr>
        <w:rFonts w:hint="eastAsia"/>
      </w:rPr>
      <w:t>####—2021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T/CSEE</w:t>
    </w:r>
    <w:r>
      <w:rPr>
        <w:rFonts w:hint="eastAsia"/>
      </w:rPr>
      <w:t>####—2021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1605"/>
        <w:tab w:val="center" w:pos="4592"/>
      </w:tabs>
    </w:pPr>
    <w:r>
      <w:rPr>
        <w:rFonts w:ascii="Arial Black" w:hAnsi="Arial Black" w:eastAsia="黑体"/>
        <w:b/>
        <w:i/>
        <w:color w:val="FF0000"/>
        <w:sz w:val="32"/>
      </w:rPr>
      <w:t>TPRI</w:t>
    </w:r>
    <w:r>
      <w:rPr>
        <w:rFonts w:hint="eastAsia"/>
        <w:color w:val="000000"/>
        <w:sz w:val="21"/>
      </w:rPr>
      <w:t>西安热工研究院有限公司技术报告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99323A"/>
    <w:multiLevelType w:val="singleLevel"/>
    <w:tmpl w:val="D299323A"/>
    <w:lvl w:ilvl="0" w:tentative="0">
      <w:start w:val="1"/>
      <w:numFmt w:val="lowerLetter"/>
      <w:lvlText w:val="%1."/>
      <w:lvlJc w:val="left"/>
      <w:pPr>
        <w:ind w:left="425" w:hanging="425"/>
      </w:pPr>
      <w:rPr>
        <w:rFonts w:hint="default"/>
      </w:rPr>
    </w:lvl>
  </w:abstractNum>
  <w:abstractNum w:abstractNumId="1">
    <w:nsid w:val="0CEB44BA"/>
    <w:multiLevelType w:val="multilevel"/>
    <w:tmpl w:val="0CEB44BA"/>
    <w:lvl w:ilvl="0" w:tentative="0">
      <w:start w:val="1"/>
      <w:numFmt w:val="decimal"/>
      <w:lvlText w:val="C.3.2.%1"/>
      <w:lvlJc w:val="left"/>
      <w:pPr>
        <w:ind w:left="631" w:hanging="420"/>
      </w:pPr>
      <w:rPr>
        <w:rFonts w:hint="default" w:ascii="黑体" w:hAnsi="黑体" w:eastAsia="黑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D1E61E6"/>
    <w:multiLevelType w:val="multilevel"/>
    <w:tmpl w:val="0D1E61E6"/>
    <w:lvl w:ilvl="0" w:tentative="0">
      <w:start w:val="1"/>
      <w:numFmt w:val="decimal"/>
      <w:lvlText w:val="C.%1"/>
      <w:lvlJc w:val="left"/>
      <w:pPr>
        <w:ind w:left="420" w:hanging="420"/>
      </w:pPr>
      <w:rPr>
        <w:rFonts w:hint="default" w:ascii="黑体" w:hAnsi="黑体" w:eastAsia="黑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7F24301"/>
    <w:multiLevelType w:val="multilevel"/>
    <w:tmpl w:val="17F24301"/>
    <w:lvl w:ilvl="0" w:tentative="0">
      <w:start w:val="1"/>
      <w:numFmt w:val="decimal"/>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42720B"/>
    <w:multiLevelType w:val="singleLevel"/>
    <w:tmpl w:val="2442720B"/>
    <w:lvl w:ilvl="0" w:tentative="0">
      <w:start w:val="1"/>
      <w:numFmt w:val="lowerLetter"/>
      <w:lvlText w:val="%1."/>
      <w:lvlJc w:val="left"/>
      <w:pPr>
        <w:ind w:left="425" w:hanging="425"/>
      </w:pPr>
      <w:rPr>
        <w:rFonts w:hint="default"/>
      </w:rPr>
    </w:lvl>
  </w:abstractNum>
  <w:abstractNum w:abstractNumId="5">
    <w:nsid w:val="27348C43"/>
    <w:multiLevelType w:val="singleLevel"/>
    <w:tmpl w:val="27348C43"/>
    <w:lvl w:ilvl="0" w:tentative="0">
      <w:start w:val="1"/>
      <w:numFmt w:val="lowerLetter"/>
      <w:lvlText w:val="%1."/>
      <w:lvlJc w:val="left"/>
      <w:pPr>
        <w:ind w:left="425" w:hanging="425"/>
      </w:pPr>
      <w:rPr>
        <w:rFonts w:hint="default"/>
      </w:rPr>
    </w:lvl>
  </w:abstractNum>
  <w:abstractNum w:abstractNumId="6">
    <w:nsid w:val="2A77410C"/>
    <w:multiLevelType w:val="multilevel"/>
    <w:tmpl w:val="2A77410C"/>
    <w:lvl w:ilvl="0" w:tentative="0">
      <w:start w:val="1"/>
      <w:numFmt w:val="decimal"/>
      <w:lvlText w:val="6.%1"/>
      <w:lvlJc w:val="left"/>
      <w:pPr>
        <w:ind w:left="420" w:hanging="420"/>
      </w:pPr>
      <w:rPr>
        <w:rFonts w:hint="default" w:ascii="黑体" w:hAnsi="黑体" w:eastAsia="黑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C4D2B31"/>
    <w:multiLevelType w:val="singleLevel"/>
    <w:tmpl w:val="2C4D2B31"/>
    <w:lvl w:ilvl="0" w:tentative="0">
      <w:start w:val="1"/>
      <w:numFmt w:val="lowerLetter"/>
      <w:lvlText w:val="%1."/>
      <w:lvlJc w:val="left"/>
      <w:pPr>
        <w:ind w:left="425" w:hanging="425"/>
      </w:pPr>
      <w:rPr>
        <w:rFonts w:hint="default"/>
      </w:rPr>
    </w:lvl>
  </w:abstractNum>
  <w:abstractNum w:abstractNumId="8">
    <w:nsid w:val="2E1E0374"/>
    <w:multiLevelType w:val="multilevel"/>
    <w:tmpl w:val="2E1E0374"/>
    <w:lvl w:ilvl="0" w:tentative="0">
      <w:start w:val="1"/>
      <w:numFmt w:val="decimal"/>
      <w:lvlText w:val="C.3.%1"/>
      <w:lvlJc w:val="left"/>
      <w:pPr>
        <w:ind w:left="631" w:hanging="420"/>
      </w:pPr>
      <w:rPr>
        <w:rFonts w:hint="default" w:ascii="黑体" w:hAnsi="黑体" w:eastAsia="黑体"/>
        <w:b w:val="0"/>
        <w:i w:val="0"/>
        <w:sz w:val="21"/>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9">
    <w:nsid w:val="32517892"/>
    <w:multiLevelType w:val="multilevel"/>
    <w:tmpl w:val="32517892"/>
    <w:lvl w:ilvl="0" w:tentative="0">
      <w:start w:val="1"/>
      <w:numFmt w:val="decimal"/>
      <w:lvlText w:val="B.%1"/>
      <w:lvlJc w:val="left"/>
      <w:pPr>
        <w:ind w:left="420" w:hanging="420"/>
      </w:pPr>
      <w:rPr>
        <w:rFonts w:hint="default" w:ascii="黑体" w:hAnsi="黑体" w:eastAsia="黑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3A57CC4"/>
    <w:multiLevelType w:val="multilevel"/>
    <w:tmpl w:val="33A57CC4"/>
    <w:lvl w:ilvl="0" w:tentative="0">
      <w:start w:val="1"/>
      <w:numFmt w:val="decimal"/>
      <w:lvlText w:val="3.%1"/>
      <w:lvlJc w:val="left"/>
      <w:pPr>
        <w:ind w:left="420" w:hanging="420"/>
      </w:pPr>
      <w:rPr>
        <w:rFonts w:hint="default" w:ascii="Times New Roman" w:hAnsi="Times New Roman" w:eastAsia="黑体" w:cs="Times New Roman"/>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6977B06"/>
    <w:multiLevelType w:val="multilevel"/>
    <w:tmpl w:val="36977B06"/>
    <w:lvl w:ilvl="0" w:tentative="0">
      <w:start w:val="1"/>
      <w:numFmt w:val="decimal"/>
      <w:lvlText w:val="C.3.3.%1"/>
      <w:lvlJc w:val="left"/>
      <w:pPr>
        <w:ind w:left="631" w:hanging="420"/>
      </w:pPr>
      <w:rPr>
        <w:rFonts w:hint="default" w:ascii="黑体" w:hAnsi="黑体" w:eastAsia="黑体"/>
        <w:b w:val="0"/>
        <w:i w:val="0"/>
        <w:sz w:val="21"/>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12">
    <w:nsid w:val="4BFD73CF"/>
    <w:multiLevelType w:val="singleLevel"/>
    <w:tmpl w:val="4BFD73CF"/>
    <w:lvl w:ilvl="0" w:tentative="0">
      <w:start w:val="1"/>
      <w:numFmt w:val="decimal"/>
      <w:lvlText w:val="5.6.%1"/>
      <w:lvlJc w:val="left"/>
      <w:pPr>
        <w:ind w:left="420" w:hanging="420"/>
      </w:pPr>
      <w:rPr>
        <w:rFonts w:hint="default" w:ascii="黑体" w:hAnsi="黑体" w:eastAsia="黑体" w:cs="Times New Roman"/>
      </w:rPr>
    </w:lvl>
  </w:abstractNum>
  <w:abstractNum w:abstractNumId="13">
    <w:nsid w:val="52E85DA9"/>
    <w:multiLevelType w:val="multilevel"/>
    <w:tmpl w:val="52E85DA9"/>
    <w:lvl w:ilvl="0" w:tentative="0">
      <w:start w:val="1"/>
      <w:numFmt w:val="decimal"/>
      <w:lvlText w:val="C.3.2.%1"/>
      <w:lvlJc w:val="left"/>
      <w:pPr>
        <w:ind w:left="631" w:hanging="420"/>
      </w:pPr>
      <w:rPr>
        <w:rFonts w:hint="default" w:ascii="黑体" w:hAnsi="黑体" w:eastAsia="黑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B5225FF"/>
    <w:multiLevelType w:val="multilevel"/>
    <w:tmpl w:val="5B5225FF"/>
    <w:lvl w:ilvl="0" w:tentative="0">
      <w:start w:val="1"/>
      <w:numFmt w:val="decimal"/>
      <w:lvlText w:val="A.%1"/>
      <w:lvlJc w:val="left"/>
      <w:pPr>
        <w:ind w:left="425" w:hanging="425"/>
      </w:pPr>
      <w:rPr>
        <w:rFonts w:hint="default" w:ascii="黑体" w:hAnsi="黑体" w:eastAsia="黑体"/>
        <w:b w:val="0"/>
        <w:i w:val="0"/>
        <w:sz w:val="21"/>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
    <w:nsid w:val="5DB0B755"/>
    <w:multiLevelType w:val="singleLevel"/>
    <w:tmpl w:val="5DB0B755"/>
    <w:lvl w:ilvl="0" w:tentative="0">
      <w:start w:val="2"/>
      <w:numFmt w:val="decimal"/>
      <w:suff w:val="nothing"/>
      <w:lvlText w:val="（%1）"/>
      <w:lvlJc w:val="left"/>
    </w:lvl>
  </w:abstractNum>
  <w:abstractNum w:abstractNumId="16">
    <w:nsid w:val="634C16E7"/>
    <w:multiLevelType w:val="multilevel"/>
    <w:tmpl w:val="634C16E7"/>
    <w:lvl w:ilvl="0" w:tentative="0">
      <w:start w:val="1"/>
      <w:numFmt w:val="decimal"/>
      <w:lvlText w:val="5.%1"/>
      <w:lvlJc w:val="left"/>
      <w:pPr>
        <w:ind w:left="420" w:hanging="420"/>
      </w:pPr>
      <w:rPr>
        <w:rFonts w:hint="default" w:ascii="黑体" w:hAnsi="黑体" w:eastAsia="黑体"/>
        <w:b w:val="0"/>
        <w:i w:val="0"/>
        <w:sz w:val="21"/>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5EC4A80"/>
    <w:multiLevelType w:val="multilevel"/>
    <w:tmpl w:val="65EC4A80"/>
    <w:lvl w:ilvl="0" w:tentative="0">
      <w:start w:val="1"/>
      <w:numFmt w:val="decimal"/>
      <w:lvlText w:val="5.3.%1"/>
      <w:lvlJc w:val="left"/>
      <w:pPr>
        <w:ind w:left="820" w:hanging="420"/>
      </w:pPr>
      <w:rPr>
        <w:rFonts w:hint="default" w:ascii="黑体" w:hAnsi="黑体" w:eastAsia="黑体" w:cs="Times New Roman"/>
        <w:b w:val="0"/>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8">
    <w:nsid w:val="6BAED2F3"/>
    <w:multiLevelType w:val="singleLevel"/>
    <w:tmpl w:val="6BAED2F3"/>
    <w:lvl w:ilvl="0" w:tentative="0">
      <w:start w:val="1"/>
      <w:numFmt w:val="lowerLetter"/>
      <w:lvlText w:val="%1."/>
      <w:lvlJc w:val="left"/>
      <w:pPr>
        <w:ind w:left="425" w:hanging="425"/>
      </w:pPr>
      <w:rPr>
        <w:rFonts w:hint="default"/>
      </w:rPr>
    </w:lvl>
  </w:abstractNum>
  <w:abstractNum w:abstractNumId="19">
    <w:nsid w:val="76663868"/>
    <w:multiLevelType w:val="singleLevel"/>
    <w:tmpl w:val="76663868"/>
    <w:lvl w:ilvl="0" w:tentative="0">
      <w:start w:val="1"/>
      <w:numFmt w:val="decimal"/>
      <w:lvlText w:val="%1)"/>
      <w:lvlJc w:val="left"/>
      <w:pPr>
        <w:ind w:left="425" w:hanging="425"/>
      </w:pPr>
      <w:rPr>
        <w:rFonts w:hint="default"/>
      </w:rPr>
    </w:lvl>
  </w:abstractNum>
  <w:abstractNum w:abstractNumId="20">
    <w:nsid w:val="789073C5"/>
    <w:multiLevelType w:val="multilevel"/>
    <w:tmpl w:val="789073C5"/>
    <w:lvl w:ilvl="0" w:tentative="0">
      <w:start w:val="1"/>
      <w:numFmt w:val="decimal"/>
      <w:lvlText w:val="5.4.%1"/>
      <w:lvlJc w:val="left"/>
      <w:pPr>
        <w:ind w:left="420" w:hanging="420"/>
      </w:pPr>
      <w:rPr>
        <w:rFonts w:hint="default" w:ascii="黑体" w:hAnsi="黑体" w:eastAsia="黑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98828AA"/>
    <w:multiLevelType w:val="multilevel"/>
    <w:tmpl w:val="798828AA"/>
    <w:lvl w:ilvl="0" w:tentative="0">
      <w:start w:val="1"/>
      <w:numFmt w:val="decimal"/>
      <w:lvlText w:val="4.%1"/>
      <w:lvlJc w:val="left"/>
      <w:pPr>
        <w:ind w:left="420" w:hanging="420"/>
      </w:pPr>
      <w:rPr>
        <w:rFonts w:hint="default" w:ascii="Times New Roman" w:hAnsi="Times New Roman"/>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0"/>
  </w:num>
  <w:num w:numId="3">
    <w:abstractNumId w:val="21"/>
  </w:num>
  <w:num w:numId="4">
    <w:abstractNumId w:val="16"/>
  </w:num>
  <w:num w:numId="5">
    <w:abstractNumId w:val="17"/>
  </w:num>
  <w:num w:numId="6">
    <w:abstractNumId w:val="20"/>
  </w:num>
  <w:num w:numId="7">
    <w:abstractNumId w:val="12"/>
  </w:num>
  <w:num w:numId="8">
    <w:abstractNumId w:val="4"/>
  </w:num>
  <w:num w:numId="9">
    <w:abstractNumId w:val="6"/>
  </w:num>
  <w:num w:numId="10">
    <w:abstractNumId w:val="5"/>
  </w:num>
  <w:num w:numId="11">
    <w:abstractNumId w:val="0"/>
  </w:num>
  <w:num w:numId="12">
    <w:abstractNumId w:val="7"/>
  </w:num>
  <w:num w:numId="13">
    <w:abstractNumId w:val="18"/>
  </w:num>
  <w:num w:numId="14">
    <w:abstractNumId w:val="19"/>
  </w:num>
  <w:num w:numId="15">
    <w:abstractNumId w:val="15"/>
  </w:num>
  <w:num w:numId="16">
    <w:abstractNumId w:val="14"/>
  </w:num>
  <w:num w:numId="17">
    <w:abstractNumId w:val="9"/>
  </w:num>
  <w:num w:numId="18">
    <w:abstractNumId w:val="2"/>
  </w:num>
  <w:num w:numId="19">
    <w:abstractNumId w:val="8"/>
  </w:num>
  <w:num w:numId="20">
    <w:abstractNumId w:val="1"/>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5MDAwYjg1OTRhYTc2NzBmYjExZWY4NTFhOTM1ZjkifQ=="/>
  </w:docVars>
  <w:rsids>
    <w:rsidRoot w:val="00000000"/>
    <w:rsid w:val="037F0840"/>
    <w:rsid w:val="041D253E"/>
    <w:rsid w:val="05312855"/>
    <w:rsid w:val="07A9711F"/>
    <w:rsid w:val="0A6B2F78"/>
    <w:rsid w:val="0FF77F35"/>
    <w:rsid w:val="15F3690F"/>
    <w:rsid w:val="16AE7283"/>
    <w:rsid w:val="1AB0583D"/>
    <w:rsid w:val="1D093395"/>
    <w:rsid w:val="1DF259D6"/>
    <w:rsid w:val="23F744A7"/>
    <w:rsid w:val="24101591"/>
    <w:rsid w:val="252669E5"/>
    <w:rsid w:val="271D0110"/>
    <w:rsid w:val="2C951273"/>
    <w:rsid w:val="2D2307FE"/>
    <w:rsid w:val="2F1B72D7"/>
    <w:rsid w:val="3256127B"/>
    <w:rsid w:val="335419DE"/>
    <w:rsid w:val="34CD52F3"/>
    <w:rsid w:val="35F621BE"/>
    <w:rsid w:val="379445D2"/>
    <w:rsid w:val="37EB2E2C"/>
    <w:rsid w:val="39CD2389"/>
    <w:rsid w:val="43705C94"/>
    <w:rsid w:val="473F7B8B"/>
    <w:rsid w:val="4B9A1A2B"/>
    <w:rsid w:val="4E582F19"/>
    <w:rsid w:val="53230361"/>
    <w:rsid w:val="56903F5F"/>
    <w:rsid w:val="58DE7204"/>
    <w:rsid w:val="5C583771"/>
    <w:rsid w:val="5ECF0AF2"/>
    <w:rsid w:val="61ED4626"/>
    <w:rsid w:val="658D1BC5"/>
    <w:rsid w:val="663F4FCE"/>
    <w:rsid w:val="6DD469CF"/>
    <w:rsid w:val="6DFB0400"/>
    <w:rsid w:val="6E6224EB"/>
    <w:rsid w:val="72F0605A"/>
    <w:rsid w:val="731F4C30"/>
    <w:rsid w:val="755328D0"/>
    <w:rsid w:val="768E61A3"/>
    <w:rsid w:val="78CF4963"/>
    <w:rsid w:val="7D2259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rFonts w:ascii="宋体" w:hAnsi="宋体"/>
      <w:szCs w:val="20"/>
    </w:rPr>
  </w:style>
  <w:style w:type="paragraph" w:styleId="4">
    <w:name w:val="annotation text"/>
    <w:basedOn w:val="1"/>
    <w:qFormat/>
    <w:uiPriority w:val="0"/>
    <w:pPr>
      <w:jc w:val="left"/>
    </w:pPr>
  </w:style>
  <w:style w:type="paragraph" w:styleId="5">
    <w:name w:val="Body Text"/>
    <w:basedOn w:val="1"/>
    <w:unhideWhenUsed/>
    <w:qFormat/>
    <w:uiPriority w:val="99"/>
    <w:pPr>
      <w:spacing w:after="120"/>
    </w:p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5"/>
    <w:qFormat/>
    <w:uiPriority w:val="0"/>
    <w:pPr>
      <w:ind w:firstLine="420" w:firstLineChars="100"/>
    </w:pPr>
  </w:style>
  <w:style w:type="table" w:styleId="13">
    <w:name w:val="Table Grid"/>
    <w:basedOn w:val="1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qFormat/>
    <w:uiPriority w:val="99"/>
    <w:rPr>
      <w:rFonts w:ascii="Times New Roman" w:hAnsi="Times New Roman" w:eastAsia="宋体"/>
      <w:color w:val="auto"/>
      <w:spacing w:val="0"/>
      <w:w w:val="100"/>
      <w:position w:val="0"/>
      <w:sz w:val="21"/>
      <w:u w:val="none"/>
      <w:vertAlign w:val="baseline"/>
    </w:rPr>
  </w:style>
  <w:style w:type="paragraph" w:customStyle="1" w:styleId="17">
    <w:name w:val="目次、标准名称标题"/>
    <w:basedOn w:val="1"/>
    <w:next w:val="1"/>
    <w:qFormat/>
    <w:uiPriority w:val="0"/>
    <w:pPr>
      <w:widowControl/>
      <w:shd w:val="clear" w:color="FFFFFF" w:fill="FFFFFF"/>
      <w:spacing w:before="640" w:after="560" w:line="460" w:lineRule="exact"/>
      <w:jc w:val="center"/>
    </w:pPr>
    <w:rPr>
      <w:rFonts w:ascii="黑体" w:hAnsi="Times New Roman" w:eastAsia="黑体" w:cs="Times New Roman"/>
      <w:kern w:val="0"/>
      <w:sz w:val="32"/>
      <w:szCs w:val="20"/>
    </w:rPr>
  </w:style>
  <w:style w:type="paragraph" w:customStyle="1" w:styleId="18">
    <w:name w:val="正文文本1"/>
    <w:basedOn w:val="1"/>
    <w:qFormat/>
    <w:uiPriority w:val="0"/>
    <w:pPr>
      <w:spacing w:after="60" w:line="341" w:lineRule="auto"/>
      <w:ind w:firstLine="400"/>
    </w:pPr>
    <w:rPr>
      <w:rFonts w:ascii="宋体" w:hAnsi="宋体" w:eastAsia="宋体" w:cs="宋体"/>
      <w:sz w:val="19"/>
      <w:szCs w:val="19"/>
    </w:rPr>
  </w:style>
  <w:style w:type="paragraph" w:customStyle="1" w:styleId="19">
    <w:name w:val="页眉或页脚 (2)"/>
    <w:basedOn w:val="1"/>
    <w:qFormat/>
    <w:uiPriority w:val="0"/>
    <w:rPr>
      <w:rFonts w:ascii="Times New Roman" w:hAnsi="Times New Roman" w:eastAsia="Times New Roman" w:cs="Times New Roman"/>
      <w:sz w:val="20"/>
      <w:szCs w:val="20"/>
    </w:rPr>
  </w:style>
  <w:style w:type="character" w:customStyle="1" w:styleId="20">
    <w:name w:val="font31"/>
    <w:basedOn w:val="14"/>
    <w:qFormat/>
    <w:uiPriority w:val="0"/>
    <w:rPr>
      <w:rFonts w:hint="default" w:ascii="Times New Roman" w:hAnsi="Times New Roman" w:cs="Times New Roman"/>
      <w:color w:val="000000"/>
      <w:sz w:val="28"/>
      <w:szCs w:val="28"/>
      <w:u w:val="none"/>
    </w:rPr>
  </w:style>
  <w:style w:type="character" w:customStyle="1" w:styleId="21">
    <w:name w:val="font11"/>
    <w:basedOn w:val="14"/>
    <w:qFormat/>
    <w:uiPriority w:val="0"/>
    <w:rPr>
      <w:rFonts w:hint="eastAsia" w:ascii="宋体" w:hAnsi="宋体" w:eastAsia="宋体" w:cs="宋体"/>
      <w:color w:val="000000"/>
      <w:sz w:val="28"/>
      <w:szCs w:val="28"/>
      <w:u w:val="none"/>
    </w:rPr>
  </w:style>
  <w:style w:type="character" w:customStyle="1" w:styleId="22">
    <w:name w:val="font21"/>
    <w:basedOn w:val="14"/>
    <w:qFormat/>
    <w:uiPriority w:val="0"/>
    <w:rPr>
      <w:rFonts w:hint="eastAsia" w:ascii="宋体" w:hAnsi="宋体" w:eastAsia="宋体" w:cs="宋体"/>
      <w:color w:val="000000"/>
      <w:sz w:val="28"/>
      <w:szCs w:val="28"/>
      <w:u w:val="none"/>
    </w:rPr>
  </w:style>
  <w:style w:type="paragraph" w:customStyle="1" w:styleId="23">
    <w:name w:val="ICS"/>
    <w:basedOn w:val="1"/>
    <w:qFormat/>
    <w:uiPriority w:val="0"/>
    <w:pPr>
      <w:widowControl/>
      <w:jc w:val="left"/>
    </w:pPr>
    <w:rPr>
      <w:rFonts w:ascii="黑体" w:hAnsi="Times New Roman" w:eastAsia="黑体" w:cs="Times New Roman"/>
      <w:kern w:val="0"/>
      <w:szCs w:val="20"/>
    </w:rPr>
  </w:style>
  <w:style w:type="paragraph" w:customStyle="1" w:styleId="24">
    <w:name w:val="发布TB"/>
    <w:basedOn w:val="1"/>
    <w:qFormat/>
    <w:uiPriority w:val="0"/>
    <w:pPr>
      <w:spacing w:line="280" w:lineRule="exact"/>
      <w:ind w:left="567"/>
    </w:pPr>
    <w:rPr>
      <w:rFonts w:ascii="黑体" w:hAnsi="Times New Roman" w:eastAsia="黑体" w:cs="Times New Roman"/>
      <w:kern w:val="3"/>
      <w:sz w:val="28"/>
    </w:rPr>
  </w:style>
  <w:style w:type="paragraph" w:customStyle="1" w:styleId="25">
    <w:name w:val="发布部门TB"/>
    <w:basedOn w:val="1"/>
    <w:qFormat/>
    <w:uiPriority w:val="0"/>
    <w:pPr>
      <w:widowControl/>
      <w:spacing w:line="360" w:lineRule="exact"/>
      <w:jc w:val="center"/>
    </w:pPr>
    <w:rPr>
      <w:rFonts w:ascii="黑体" w:hAnsi="黑体" w:eastAsia="黑体" w:cs="Times New Roman"/>
      <w:spacing w:val="20"/>
      <w:w w:val="135"/>
      <w:kern w:val="0"/>
      <w:sz w:val="36"/>
      <w:szCs w:val="20"/>
    </w:rPr>
  </w:style>
  <w:style w:type="paragraph" w:customStyle="1" w:styleId="26">
    <w:name w:val="实施日期"/>
    <w:basedOn w:val="27"/>
    <w:qFormat/>
    <w:uiPriority w:val="0"/>
    <w:pPr>
      <w:jc w:val="right"/>
    </w:pPr>
  </w:style>
  <w:style w:type="paragraph" w:customStyle="1" w:styleId="27">
    <w:name w:val="发布日期"/>
    <w:qFormat/>
    <w:uiPriority w:val="0"/>
    <w:rPr>
      <w:rFonts w:ascii="黑体" w:hAnsi="黑体" w:eastAsia="黑体" w:cs="Times New Roman"/>
      <w:sz w:val="28"/>
      <w:lang w:val="en-US" w:eastAsia="zh-CN" w:bidi="ar-SA"/>
    </w:rPr>
  </w:style>
  <w:style w:type="paragraph" w:customStyle="1" w:styleId="28">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9">
    <w:name w:val="封面标准代替信息"/>
    <w:basedOn w:val="1"/>
    <w:qFormat/>
    <w:uiPriority w:val="0"/>
    <w:pPr>
      <w:kinsoku w:val="0"/>
      <w:overflowPunct w:val="0"/>
      <w:autoSpaceDE w:val="0"/>
      <w:autoSpaceDN w:val="0"/>
      <w:adjustRightInd w:val="0"/>
      <w:spacing w:line="360" w:lineRule="exact"/>
      <w:jc w:val="right"/>
      <w:textAlignment w:val="center"/>
    </w:pPr>
    <w:rPr>
      <w:rFonts w:ascii="黑体" w:hAnsi="黑体" w:eastAsia="黑体" w:cs="Times New Roman"/>
      <w:kern w:val="0"/>
      <w:szCs w:val="20"/>
    </w:rPr>
  </w:style>
  <w:style w:type="paragraph" w:customStyle="1" w:styleId="3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1">
    <w:name w:val="封面一致性程度标识"/>
    <w:qFormat/>
    <w:uiPriority w:val="0"/>
    <w:pPr>
      <w:spacing w:before="680" w:line="400" w:lineRule="exact"/>
      <w:jc w:val="center"/>
    </w:pPr>
    <w:rPr>
      <w:rFonts w:ascii="黑体" w:hAnsi="黑体" w:eastAsia="黑体" w:cs="Times New Roman"/>
      <w:sz w:val="28"/>
      <w:lang w:val="en-US" w:eastAsia="zh-CN" w:bidi="ar-SA"/>
    </w:rPr>
  </w:style>
  <w:style w:type="paragraph" w:customStyle="1" w:styleId="32">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5.GIF"/><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6416</Words>
  <Characters>7800</Characters>
  <Lines>0</Lines>
  <Paragraphs>0</Paragraphs>
  <TotalTime>82</TotalTime>
  <ScaleCrop>false</ScaleCrop>
  <LinksUpToDate>false</LinksUpToDate>
  <CharactersWithSpaces>8001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2023-05-10T07:40:00Z</dcterms:created>
  <dc:creator>Lenovo</dc:creator>
  <cp:lastModifiedBy>雷旭乐</cp:lastModifiedBy>
  <dcterms:modified xsi:type="dcterms:W3CDTF">2024-06-12T06:48:23Z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3D43545134E7490FB92B22209F49BE2E_13</vt:lpwstr>
  </property>
</Properties>
</file>